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70E" w:rsidRPr="00B10C1A" w:rsidRDefault="0046491C" w:rsidP="0046491C">
      <w:pPr>
        <w:spacing w:after="0" w:line="360" w:lineRule="auto"/>
        <w:jc w:val="both"/>
        <w:rPr>
          <w:rFonts w:ascii="Palatino Linotype" w:hAnsi="Palatino Linotype" w:cs="Arial"/>
          <w:b/>
          <w:sz w:val="24"/>
          <w:szCs w:val="24"/>
        </w:rPr>
      </w:pPr>
      <w:r w:rsidRPr="00B10C1A">
        <w:rPr>
          <w:rFonts w:ascii="Palatino Linotype" w:hAnsi="Palatino Linotype" w:cs="Arial"/>
          <w:b/>
          <w:sz w:val="24"/>
          <w:szCs w:val="24"/>
        </w:rPr>
        <w:t>VOTO PARTICULAR DEL COMISIONADO JOSÉ GUADA</w:t>
      </w:r>
      <w:r w:rsidR="00D72985" w:rsidRPr="00B10C1A">
        <w:rPr>
          <w:rFonts w:ascii="Palatino Linotype" w:hAnsi="Palatino Linotype" w:cs="Arial"/>
          <w:b/>
          <w:sz w:val="24"/>
          <w:szCs w:val="24"/>
        </w:rPr>
        <w:t>LUPE LUNA HERNÁNDEZ DEL RECURSO</w:t>
      </w:r>
      <w:r w:rsidRPr="00B10C1A">
        <w:rPr>
          <w:rFonts w:ascii="Palatino Linotype" w:hAnsi="Palatino Linotype" w:cs="Arial"/>
          <w:b/>
          <w:sz w:val="24"/>
          <w:szCs w:val="24"/>
        </w:rPr>
        <w:t xml:space="preserve"> DE REVISIÓN </w:t>
      </w:r>
      <w:r w:rsidR="0085533E" w:rsidRPr="00B10C1A">
        <w:rPr>
          <w:rFonts w:ascii="Palatino Linotype" w:hAnsi="Palatino Linotype" w:cs="Arial"/>
          <w:b/>
          <w:sz w:val="24"/>
          <w:szCs w:val="24"/>
        </w:rPr>
        <w:t>0</w:t>
      </w:r>
      <w:r w:rsidR="00137288">
        <w:rPr>
          <w:rFonts w:ascii="Palatino Linotype" w:hAnsi="Palatino Linotype" w:cs="Arial"/>
          <w:b/>
          <w:sz w:val="24"/>
          <w:szCs w:val="24"/>
        </w:rPr>
        <w:t>4266</w:t>
      </w:r>
      <w:r w:rsidR="009C41CC" w:rsidRPr="00B10C1A">
        <w:rPr>
          <w:rFonts w:ascii="Palatino Linotype" w:hAnsi="Palatino Linotype" w:cs="Arial"/>
          <w:b/>
          <w:sz w:val="24"/>
          <w:szCs w:val="24"/>
        </w:rPr>
        <w:t>/INFOEM/IP/RR/201</w:t>
      </w:r>
      <w:r w:rsidR="00D12DE7" w:rsidRPr="00B10C1A">
        <w:rPr>
          <w:rFonts w:ascii="Palatino Linotype" w:hAnsi="Palatino Linotype" w:cs="Arial"/>
          <w:b/>
          <w:sz w:val="24"/>
          <w:szCs w:val="24"/>
        </w:rPr>
        <w:t xml:space="preserve">8. </w:t>
      </w:r>
    </w:p>
    <w:p w:rsidR="00770B87" w:rsidRPr="00B10C1A" w:rsidRDefault="00770B87" w:rsidP="0046491C">
      <w:pPr>
        <w:spacing w:after="0" w:line="360" w:lineRule="auto"/>
        <w:jc w:val="both"/>
        <w:rPr>
          <w:rFonts w:ascii="Palatino Linotype" w:hAnsi="Palatino Linotype" w:cs="Arial"/>
          <w:b/>
          <w:sz w:val="24"/>
          <w:szCs w:val="24"/>
        </w:rPr>
      </w:pPr>
    </w:p>
    <w:p w:rsidR="0046491C" w:rsidRPr="00B10C1A" w:rsidRDefault="0046491C" w:rsidP="0046491C">
      <w:pPr>
        <w:spacing w:after="0" w:line="360" w:lineRule="auto"/>
        <w:jc w:val="both"/>
        <w:rPr>
          <w:rFonts w:ascii="Palatino Linotype" w:hAnsi="Palatino Linotype" w:cs="Arial"/>
          <w:b/>
          <w:sz w:val="24"/>
          <w:szCs w:val="24"/>
        </w:rPr>
      </w:pPr>
      <w:r w:rsidRPr="00B10C1A">
        <w:rPr>
          <w:rFonts w:ascii="Palatino Linotype" w:hAnsi="Palatino Linotype" w:cs="Arial"/>
          <w:b/>
          <w:sz w:val="24"/>
          <w:szCs w:val="24"/>
        </w:rPr>
        <w:t>Líneas argumentativas:</w:t>
      </w:r>
    </w:p>
    <w:p w:rsidR="00902248" w:rsidRPr="00B10C1A" w:rsidRDefault="00902248" w:rsidP="0046491C">
      <w:pPr>
        <w:spacing w:after="0" w:line="360" w:lineRule="auto"/>
        <w:jc w:val="both"/>
        <w:rPr>
          <w:rFonts w:ascii="Palatino Linotype" w:hAnsi="Palatino Linotype" w:cs="Arial"/>
          <w:sz w:val="24"/>
          <w:szCs w:val="24"/>
        </w:rPr>
      </w:pPr>
    </w:p>
    <w:p w:rsidR="0046491C" w:rsidRPr="00B10C1A" w:rsidRDefault="0046491C" w:rsidP="00902248">
      <w:pPr>
        <w:spacing w:after="0" w:line="276" w:lineRule="auto"/>
        <w:jc w:val="both"/>
        <w:rPr>
          <w:rFonts w:ascii="Palatino Linotype" w:hAnsi="Palatino Linotype" w:cs="Arial"/>
          <w:sz w:val="24"/>
          <w:szCs w:val="24"/>
        </w:rPr>
      </w:pPr>
      <w:r w:rsidRPr="00B10C1A">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902248" w:rsidRPr="00B10C1A" w:rsidRDefault="00902248" w:rsidP="00902248">
      <w:pPr>
        <w:spacing w:after="0" w:line="276" w:lineRule="auto"/>
        <w:jc w:val="both"/>
        <w:rPr>
          <w:rFonts w:ascii="Palatino Linotype" w:hAnsi="Palatino Linotype" w:cs="Arial"/>
          <w:sz w:val="24"/>
          <w:szCs w:val="24"/>
        </w:rPr>
      </w:pPr>
    </w:p>
    <w:p w:rsidR="0046491C" w:rsidRPr="00B10C1A" w:rsidRDefault="0046491C" w:rsidP="00902248">
      <w:pPr>
        <w:spacing w:after="0" w:line="276" w:lineRule="auto"/>
        <w:jc w:val="both"/>
        <w:rPr>
          <w:rFonts w:ascii="Palatino Linotype" w:hAnsi="Palatino Linotype" w:cs="Arial"/>
          <w:sz w:val="24"/>
          <w:szCs w:val="24"/>
        </w:rPr>
      </w:pPr>
      <w:r w:rsidRPr="00B10C1A">
        <w:rPr>
          <w:rFonts w:ascii="Palatino Linotype" w:hAnsi="Palatino Linotype" w:cs="Arial"/>
          <w:sz w:val="24"/>
          <w:szCs w:val="24"/>
        </w:rPr>
        <w:t>La figura de actos consentidos no debe ser invocada en el derecho humano fundamental de acceder a la información pública gubernamental.</w:t>
      </w:r>
    </w:p>
    <w:p w:rsidR="00410C93" w:rsidRPr="00B10C1A" w:rsidRDefault="00410C93" w:rsidP="00902248">
      <w:pPr>
        <w:spacing w:after="0" w:line="276" w:lineRule="auto"/>
        <w:jc w:val="both"/>
        <w:rPr>
          <w:rFonts w:ascii="Palatino Linotype" w:hAnsi="Palatino Linotype" w:cs="Arial"/>
          <w:sz w:val="24"/>
          <w:szCs w:val="24"/>
        </w:rPr>
      </w:pPr>
    </w:p>
    <w:p w:rsidR="0046491C" w:rsidRPr="00B10C1A" w:rsidRDefault="0046491C" w:rsidP="00902248">
      <w:pPr>
        <w:spacing w:after="0" w:line="276" w:lineRule="auto"/>
        <w:jc w:val="both"/>
        <w:rPr>
          <w:rFonts w:ascii="Palatino Linotype" w:hAnsi="Palatino Linotype" w:cs="Arial"/>
          <w:sz w:val="24"/>
          <w:szCs w:val="24"/>
        </w:rPr>
      </w:pPr>
      <w:r w:rsidRPr="00B10C1A">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B10C1A" w:rsidRDefault="0046491C" w:rsidP="00902248">
      <w:pPr>
        <w:spacing w:after="0" w:line="276" w:lineRule="auto"/>
        <w:jc w:val="both"/>
        <w:rPr>
          <w:rFonts w:ascii="Palatino Linotype" w:hAnsi="Palatino Linotype" w:cs="Arial"/>
          <w:sz w:val="24"/>
          <w:szCs w:val="24"/>
        </w:rPr>
      </w:pPr>
    </w:p>
    <w:p w:rsidR="0046491C" w:rsidRPr="00B10C1A" w:rsidRDefault="0046491C" w:rsidP="00902248">
      <w:pPr>
        <w:spacing w:after="0" w:line="276" w:lineRule="auto"/>
        <w:jc w:val="both"/>
        <w:rPr>
          <w:rFonts w:ascii="Palatino Linotype" w:hAnsi="Palatino Linotype" w:cs="Arial"/>
          <w:sz w:val="24"/>
          <w:szCs w:val="24"/>
        </w:rPr>
      </w:pPr>
      <w:r w:rsidRPr="00B10C1A">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w:t>
      </w:r>
    </w:p>
    <w:p w:rsidR="0046491C" w:rsidRPr="00B10C1A" w:rsidRDefault="0046491C" w:rsidP="00902248">
      <w:pPr>
        <w:spacing w:after="0" w:line="276" w:lineRule="auto"/>
        <w:jc w:val="both"/>
        <w:rPr>
          <w:rFonts w:ascii="Palatino Linotype" w:hAnsi="Palatino Linotype" w:cs="Arial"/>
          <w:sz w:val="24"/>
          <w:szCs w:val="24"/>
        </w:rPr>
      </w:pPr>
    </w:p>
    <w:p w:rsidR="0046491C" w:rsidRPr="00B10C1A" w:rsidRDefault="0046491C" w:rsidP="00902248">
      <w:pPr>
        <w:spacing w:after="0" w:line="276" w:lineRule="auto"/>
        <w:jc w:val="both"/>
        <w:rPr>
          <w:rFonts w:ascii="Palatino Linotype" w:hAnsi="Palatino Linotype" w:cs="Arial"/>
          <w:sz w:val="24"/>
          <w:szCs w:val="24"/>
        </w:rPr>
      </w:pPr>
      <w:r w:rsidRPr="00B10C1A">
        <w:rPr>
          <w:rFonts w:ascii="Palatino Linotype" w:hAnsi="Palatino Linotype" w:cs="Arial"/>
          <w:sz w:val="24"/>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46491C" w:rsidRPr="00B10C1A" w:rsidRDefault="0046491C" w:rsidP="00902248">
      <w:pPr>
        <w:spacing w:after="0" w:line="276" w:lineRule="auto"/>
        <w:jc w:val="both"/>
        <w:rPr>
          <w:rFonts w:ascii="Palatino Linotype" w:hAnsi="Palatino Linotype" w:cs="Arial"/>
          <w:sz w:val="24"/>
          <w:szCs w:val="24"/>
        </w:rPr>
      </w:pPr>
    </w:p>
    <w:p w:rsidR="0046491C" w:rsidRDefault="0046491C" w:rsidP="00902248">
      <w:pPr>
        <w:spacing w:after="0" w:line="276" w:lineRule="auto"/>
        <w:jc w:val="both"/>
        <w:rPr>
          <w:rFonts w:ascii="Palatino Linotype" w:hAnsi="Palatino Linotype" w:cs="Arial"/>
          <w:sz w:val="24"/>
          <w:szCs w:val="24"/>
        </w:rPr>
      </w:pPr>
      <w:r w:rsidRPr="00B10C1A">
        <w:rPr>
          <w:rFonts w:ascii="Palatino Linotype" w:hAnsi="Palatino Linotype" w:cs="Arial"/>
          <w:sz w:val="24"/>
          <w:szCs w:val="24"/>
        </w:rPr>
        <w:t>Los órganos del Estado, tienen el deber que tienen dentro del margen de sus atribuciones, de prevenir violaciones a los derechos fundamentales.</w:t>
      </w:r>
    </w:p>
    <w:p w:rsidR="00A97D8B" w:rsidRDefault="00A97D8B" w:rsidP="00902248">
      <w:pPr>
        <w:spacing w:after="0" w:line="276" w:lineRule="auto"/>
        <w:jc w:val="both"/>
        <w:rPr>
          <w:rFonts w:ascii="Palatino Linotype" w:hAnsi="Palatino Linotype" w:cs="Arial"/>
          <w:sz w:val="24"/>
          <w:szCs w:val="24"/>
        </w:rPr>
      </w:pPr>
    </w:p>
    <w:p w:rsidR="00A97D8B" w:rsidRDefault="00A97D8B" w:rsidP="00A97D8B">
      <w:pPr>
        <w:spacing w:line="360" w:lineRule="auto"/>
        <w:jc w:val="both"/>
        <w:rPr>
          <w:rFonts w:ascii="Palatino Linotype" w:hAnsi="Palatino Linotype"/>
          <w:sz w:val="24"/>
          <w:szCs w:val="24"/>
        </w:rPr>
      </w:pPr>
      <w:r w:rsidRPr="009A3225">
        <w:rPr>
          <w:rFonts w:ascii="Palatino Linotype" w:hAnsi="Palatino Linotype"/>
          <w:sz w:val="24"/>
          <w:szCs w:val="24"/>
        </w:rPr>
        <w:lastRenderedPageBreak/>
        <w:t>La fotografía en la cédula o título profesional, es un requisito que debe reunir el interesado a quien se le expedirán y constituye un elemento indispensable de identidad de la persona a quie</w:t>
      </w:r>
      <w:r>
        <w:rPr>
          <w:rFonts w:ascii="Palatino Linotype" w:hAnsi="Palatino Linotype"/>
          <w:sz w:val="24"/>
          <w:szCs w:val="24"/>
        </w:rPr>
        <w:t>n se le expide.</w:t>
      </w:r>
    </w:p>
    <w:p w:rsidR="00A97D8B" w:rsidRDefault="00A97D8B" w:rsidP="00A97D8B">
      <w:pPr>
        <w:spacing w:line="360" w:lineRule="auto"/>
        <w:jc w:val="both"/>
        <w:rPr>
          <w:rFonts w:ascii="Palatino Linotype" w:hAnsi="Palatino Linotype"/>
          <w:color w:val="000000" w:themeColor="text1"/>
          <w:sz w:val="24"/>
          <w:szCs w:val="24"/>
        </w:rPr>
      </w:pPr>
      <w:r>
        <w:rPr>
          <w:rFonts w:ascii="Palatino Linotype" w:hAnsi="Palatino Linotype"/>
          <w:sz w:val="24"/>
          <w:szCs w:val="24"/>
        </w:rPr>
        <w:t xml:space="preserve">El título </w:t>
      </w:r>
      <w:r w:rsidRPr="009A3225">
        <w:rPr>
          <w:rFonts w:ascii="Palatino Linotype" w:hAnsi="Palatino Linotype"/>
          <w:color w:val="000000" w:themeColor="text1"/>
          <w:sz w:val="24"/>
          <w:szCs w:val="24"/>
        </w:rPr>
        <w:t>profesional se integra por un conjunto de elementos cuya concurrencia simultánea permiten identificar clara e indubitablemente que una persona determinada cuenta con título para desempeñar una profesión y que por ello se ha emitido la respectiva patente</w:t>
      </w:r>
      <w:r>
        <w:rPr>
          <w:rFonts w:ascii="Palatino Linotype" w:hAnsi="Palatino Linotype"/>
          <w:color w:val="000000" w:themeColor="text1"/>
          <w:sz w:val="24"/>
          <w:szCs w:val="24"/>
        </w:rPr>
        <w:t>.</w:t>
      </w:r>
    </w:p>
    <w:p w:rsidR="007A23D1" w:rsidRPr="00B10C1A" w:rsidRDefault="007A23D1" w:rsidP="00902248">
      <w:pPr>
        <w:spacing w:after="0" w:line="276" w:lineRule="auto"/>
        <w:jc w:val="both"/>
        <w:rPr>
          <w:rFonts w:ascii="Palatino Linotype" w:hAnsi="Palatino Linotype" w:cs="Arial"/>
          <w:sz w:val="24"/>
          <w:szCs w:val="24"/>
        </w:rPr>
      </w:pPr>
    </w:p>
    <w:p w:rsidR="00007504" w:rsidRPr="00B10C1A" w:rsidRDefault="0046491C" w:rsidP="0046491C">
      <w:pPr>
        <w:pStyle w:val="TtulodeTDC"/>
        <w:rPr>
          <w:rFonts w:cs="Arial"/>
          <w:b w:val="0"/>
          <w:szCs w:val="24"/>
        </w:rPr>
      </w:pPr>
      <w:r w:rsidRPr="00B10C1A">
        <w:rPr>
          <w:rFonts w:cs="Arial"/>
          <w:b w:val="0"/>
          <w:szCs w:val="24"/>
        </w:rPr>
        <w:t>Índice</w:t>
      </w:r>
    </w:p>
    <w:sdt>
      <w:sdtPr>
        <w:rPr>
          <w:lang w:val="es-ES"/>
        </w:rPr>
        <w:id w:val="-1628690016"/>
        <w:docPartObj>
          <w:docPartGallery w:val="Table of Contents"/>
          <w:docPartUnique/>
        </w:docPartObj>
      </w:sdtPr>
      <w:sdtEndPr>
        <w:rPr>
          <w:rFonts w:ascii="Palatino Linotype" w:hAnsi="Palatino Linotype"/>
          <w:b/>
          <w:bCs/>
          <w:sz w:val="24"/>
          <w:szCs w:val="24"/>
        </w:rPr>
      </w:sdtEndPr>
      <w:sdtContent>
        <w:p w:rsidR="0046491C" w:rsidRPr="00B10C1A" w:rsidRDefault="0046491C" w:rsidP="00007504">
          <w:pPr>
            <w:spacing w:after="0" w:line="360" w:lineRule="auto"/>
            <w:jc w:val="both"/>
          </w:pPr>
        </w:p>
        <w:p w:rsidR="003B3FC7" w:rsidRPr="003B3FC7" w:rsidRDefault="0046491C">
          <w:pPr>
            <w:pStyle w:val="TDC1"/>
            <w:rPr>
              <w:rFonts w:ascii="Palatino Linotype" w:eastAsiaTheme="minorEastAsia" w:hAnsi="Palatino Linotype"/>
              <w:noProof/>
              <w:sz w:val="24"/>
              <w:szCs w:val="24"/>
              <w:lang w:eastAsia="es-MX"/>
            </w:rPr>
          </w:pPr>
          <w:r w:rsidRPr="003B3FC7">
            <w:rPr>
              <w:rFonts w:ascii="Palatino Linotype" w:hAnsi="Palatino Linotype"/>
              <w:sz w:val="24"/>
              <w:szCs w:val="24"/>
            </w:rPr>
            <w:fldChar w:fldCharType="begin"/>
          </w:r>
          <w:r w:rsidRPr="003B3FC7">
            <w:rPr>
              <w:rFonts w:ascii="Palatino Linotype" w:hAnsi="Palatino Linotype"/>
              <w:sz w:val="24"/>
              <w:szCs w:val="24"/>
            </w:rPr>
            <w:instrText xml:space="preserve"> TOC \o "1-3" \h \z \u </w:instrText>
          </w:r>
          <w:r w:rsidRPr="003B3FC7">
            <w:rPr>
              <w:rFonts w:ascii="Palatino Linotype" w:hAnsi="Palatino Linotype"/>
              <w:sz w:val="24"/>
              <w:szCs w:val="24"/>
            </w:rPr>
            <w:fldChar w:fldCharType="separate"/>
          </w:r>
          <w:hyperlink w:anchor="_Toc264965" w:history="1">
            <w:r w:rsidR="003B3FC7" w:rsidRPr="003B3FC7">
              <w:rPr>
                <w:rStyle w:val="Hipervnculo"/>
                <w:rFonts w:ascii="Palatino Linotype" w:hAnsi="Palatino Linotype"/>
                <w:noProof/>
                <w:sz w:val="24"/>
                <w:szCs w:val="24"/>
              </w:rPr>
              <w:t>I.</w:t>
            </w:r>
            <w:r w:rsidR="003B3FC7" w:rsidRPr="003B3FC7">
              <w:rPr>
                <w:rFonts w:ascii="Palatino Linotype" w:eastAsiaTheme="minorEastAsia" w:hAnsi="Palatino Linotype"/>
                <w:noProof/>
                <w:sz w:val="24"/>
                <w:szCs w:val="24"/>
                <w:lang w:eastAsia="es-MX"/>
              </w:rPr>
              <w:tab/>
            </w:r>
            <w:r w:rsidR="003B3FC7" w:rsidRPr="003B3FC7">
              <w:rPr>
                <w:rStyle w:val="Hipervnculo"/>
                <w:rFonts w:ascii="Palatino Linotype" w:hAnsi="Palatino Linotype"/>
                <w:noProof/>
                <w:sz w:val="24"/>
                <w:szCs w:val="24"/>
              </w:rPr>
              <w:t>Consideraciones Generales.</w:t>
            </w:r>
            <w:r w:rsidR="003B3FC7" w:rsidRPr="003B3FC7">
              <w:rPr>
                <w:rFonts w:ascii="Palatino Linotype" w:hAnsi="Palatino Linotype"/>
                <w:noProof/>
                <w:webHidden/>
                <w:sz w:val="24"/>
                <w:szCs w:val="24"/>
              </w:rPr>
              <w:tab/>
            </w:r>
            <w:r w:rsidR="003B3FC7" w:rsidRPr="003B3FC7">
              <w:rPr>
                <w:rFonts w:ascii="Palatino Linotype" w:hAnsi="Palatino Linotype"/>
                <w:noProof/>
                <w:webHidden/>
                <w:sz w:val="24"/>
                <w:szCs w:val="24"/>
              </w:rPr>
              <w:fldChar w:fldCharType="begin"/>
            </w:r>
            <w:r w:rsidR="003B3FC7" w:rsidRPr="003B3FC7">
              <w:rPr>
                <w:rFonts w:ascii="Palatino Linotype" w:hAnsi="Palatino Linotype"/>
                <w:noProof/>
                <w:webHidden/>
                <w:sz w:val="24"/>
                <w:szCs w:val="24"/>
              </w:rPr>
              <w:instrText xml:space="preserve"> PAGEREF _Toc264965 \h </w:instrText>
            </w:r>
            <w:r w:rsidR="003B3FC7" w:rsidRPr="003B3FC7">
              <w:rPr>
                <w:rFonts w:ascii="Palatino Linotype" w:hAnsi="Palatino Linotype"/>
                <w:noProof/>
                <w:webHidden/>
                <w:sz w:val="24"/>
                <w:szCs w:val="24"/>
              </w:rPr>
            </w:r>
            <w:r w:rsidR="003B3FC7" w:rsidRPr="003B3FC7">
              <w:rPr>
                <w:rFonts w:ascii="Palatino Linotype" w:hAnsi="Palatino Linotype"/>
                <w:noProof/>
                <w:webHidden/>
                <w:sz w:val="24"/>
                <w:szCs w:val="24"/>
              </w:rPr>
              <w:fldChar w:fldCharType="separate"/>
            </w:r>
            <w:r w:rsidR="003B3FC7" w:rsidRPr="003B3FC7">
              <w:rPr>
                <w:rFonts w:ascii="Palatino Linotype" w:hAnsi="Palatino Linotype"/>
                <w:noProof/>
                <w:webHidden/>
                <w:sz w:val="24"/>
                <w:szCs w:val="24"/>
              </w:rPr>
              <w:t>2</w:t>
            </w:r>
            <w:r w:rsidR="003B3FC7" w:rsidRPr="003B3FC7">
              <w:rPr>
                <w:rFonts w:ascii="Palatino Linotype" w:hAnsi="Palatino Linotype"/>
                <w:noProof/>
                <w:webHidden/>
                <w:sz w:val="24"/>
                <w:szCs w:val="24"/>
              </w:rPr>
              <w:fldChar w:fldCharType="end"/>
            </w:r>
          </w:hyperlink>
        </w:p>
        <w:p w:rsidR="003B3FC7" w:rsidRPr="003B3FC7" w:rsidRDefault="00F70D94">
          <w:pPr>
            <w:pStyle w:val="TDC1"/>
            <w:rPr>
              <w:rFonts w:ascii="Palatino Linotype" w:eastAsiaTheme="minorEastAsia" w:hAnsi="Palatino Linotype"/>
              <w:noProof/>
              <w:sz w:val="24"/>
              <w:szCs w:val="24"/>
              <w:lang w:eastAsia="es-MX"/>
            </w:rPr>
          </w:pPr>
          <w:hyperlink w:anchor="_Toc264966" w:history="1">
            <w:r w:rsidR="003B3FC7" w:rsidRPr="003B3FC7">
              <w:rPr>
                <w:rStyle w:val="Hipervnculo"/>
                <w:rFonts w:ascii="Palatino Linotype" w:hAnsi="Palatino Linotype"/>
                <w:noProof/>
                <w:sz w:val="24"/>
                <w:szCs w:val="24"/>
              </w:rPr>
              <w:t>II.</w:t>
            </w:r>
            <w:r w:rsidR="003B3FC7" w:rsidRPr="003B3FC7">
              <w:rPr>
                <w:rFonts w:ascii="Palatino Linotype" w:eastAsiaTheme="minorEastAsia" w:hAnsi="Palatino Linotype"/>
                <w:noProof/>
                <w:sz w:val="24"/>
                <w:szCs w:val="24"/>
                <w:lang w:eastAsia="es-MX"/>
              </w:rPr>
              <w:tab/>
            </w:r>
            <w:r w:rsidR="003B3FC7" w:rsidRPr="003B3FC7">
              <w:rPr>
                <w:rStyle w:val="Hipervnculo"/>
                <w:rFonts w:ascii="Palatino Linotype" w:hAnsi="Palatino Linotype"/>
                <w:noProof/>
                <w:sz w:val="24"/>
                <w:szCs w:val="24"/>
              </w:rPr>
              <w:t>De los requerimientos planteados en el recurso de revisión.</w:t>
            </w:r>
            <w:r w:rsidR="003B3FC7" w:rsidRPr="003B3FC7">
              <w:rPr>
                <w:rFonts w:ascii="Palatino Linotype" w:hAnsi="Palatino Linotype"/>
                <w:noProof/>
                <w:webHidden/>
                <w:sz w:val="24"/>
                <w:szCs w:val="24"/>
              </w:rPr>
              <w:tab/>
            </w:r>
            <w:r w:rsidR="003B3FC7" w:rsidRPr="003B3FC7">
              <w:rPr>
                <w:rFonts w:ascii="Palatino Linotype" w:hAnsi="Palatino Linotype"/>
                <w:noProof/>
                <w:webHidden/>
                <w:sz w:val="24"/>
                <w:szCs w:val="24"/>
              </w:rPr>
              <w:fldChar w:fldCharType="begin"/>
            </w:r>
            <w:r w:rsidR="003B3FC7" w:rsidRPr="003B3FC7">
              <w:rPr>
                <w:rFonts w:ascii="Palatino Linotype" w:hAnsi="Palatino Linotype"/>
                <w:noProof/>
                <w:webHidden/>
                <w:sz w:val="24"/>
                <w:szCs w:val="24"/>
              </w:rPr>
              <w:instrText xml:space="preserve"> PAGEREF _Toc264966 \h </w:instrText>
            </w:r>
            <w:r w:rsidR="003B3FC7" w:rsidRPr="003B3FC7">
              <w:rPr>
                <w:rFonts w:ascii="Palatino Linotype" w:hAnsi="Palatino Linotype"/>
                <w:noProof/>
                <w:webHidden/>
                <w:sz w:val="24"/>
                <w:szCs w:val="24"/>
              </w:rPr>
            </w:r>
            <w:r w:rsidR="003B3FC7" w:rsidRPr="003B3FC7">
              <w:rPr>
                <w:rFonts w:ascii="Palatino Linotype" w:hAnsi="Palatino Linotype"/>
                <w:noProof/>
                <w:webHidden/>
                <w:sz w:val="24"/>
                <w:szCs w:val="24"/>
              </w:rPr>
              <w:fldChar w:fldCharType="separate"/>
            </w:r>
            <w:r w:rsidR="003B3FC7" w:rsidRPr="003B3FC7">
              <w:rPr>
                <w:rFonts w:ascii="Palatino Linotype" w:hAnsi="Palatino Linotype"/>
                <w:noProof/>
                <w:webHidden/>
                <w:sz w:val="24"/>
                <w:szCs w:val="24"/>
              </w:rPr>
              <w:t>4</w:t>
            </w:r>
            <w:r w:rsidR="003B3FC7" w:rsidRPr="003B3FC7">
              <w:rPr>
                <w:rFonts w:ascii="Palatino Linotype" w:hAnsi="Palatino Linotype"/>
                <w:noProof/>
                <w:webHidden/>
                <w:sz w:val="24"/>
                <w:szCs w:val="24"/>
              </w:rPr>
              <w:fldChar w:fldCharType="end"/>
            </w:r>
          </w:hyperlink>
        </w:p>
        <w:p w:rsidR="003B3FC7" w:rsidRPr="003B3FC7" w:rsidRDefault="00F70D94">
          <w:pPr>
            <w:pStyle w:val="TDC1"/>
            <w:rPr>
              <w:rFonts w:ascii="Palatino Linotype" w:eastAsiaTheme="minorEastAsia" w:hAnsi="Palatino Linotype"/>
              <w:noProof/>
              <w:sz w:val="24"/>
              <w:szCs w:val="24"/>
              <w:lang w:eastAsia="es-MX"/>
            </w:rPr>
          </w:pPr>
          <w:hyperlink w:anchor="_Toc264967" w:history="1">
            <w:r w:rsidR="003B3FC7" w:rsidRPr="003B3FC7">
              <w:rPr>
                <w:rStyle w:val="Hipervnculo"/>
                <w:rFonts w:ascii="Palatino Linotype" w:hAnsi="Palatino Linotype"/>
                <w:noProof/>
                <w:sz w:val="24"/>
                <w:szCs w:val="24"/>
              </w:rPr>
              <w:t>III.</w:t>
            </w:r>
            <w:r w:rsidR="003B3FC7" w:rsidRPr="003B3FC7">
              <w:rPr>
                <w:rFonts w:ascii="Palatino Linotype" w:eastAsiaTheme="minorEastAsia" w:hAnsi="Palatino Linotype"/>
                <w:noProof/>
                <w:sz w:val="24"/>
                <w:szCs w:val="24"/>
                <w:lang w:eastAsia="es-MX"/>
              </w:rPr>
              <w:tab/>
            </w:r>
            <w:r w:rsidR="003B3FC7" w:rsidRPr="003B3FC7">
              <w:rPr>
                <w:rStyle w:val="Hipervnculo"/>
                <w:rFonts w:ascii="Palatino Linotype" w:hAnsi="Palatino Linotype"/>
                <w:noProof/>
                <w:sz w:val="24"/>
                <w:szCs w:val="24"/>
              </w:rPr>
              <w:t>Los actos consentidos no deben invocarse en el derecho fundamental de acceder a la información pública gubernamental.</w:t>
            </w:r>
            <w:r w:rsidR="003B3FC7" w:rsidRPr="003B3FC7">
              <w:rPr>
                <w:rFonts w:ascii="Palatino Linotype" w:hAnsi="Palatino Linotype"/>
                <w:noProof/>
                <w:webHidden/>
                <w:sz w:val="24"/>
                <w:szCs w:val="24"/>
              </w:rPr>
              <w:tab/>
            </w:r>
            <w:r w:rsidR="003B3FC7" w:rsidRPr="003B3FC7">
              <w:rPr>
                <w:rFonts w:ascii="Palatino Linotype" w:hAnsi="Palatino Linotype"/>
                <w:noProof/>
                <w:webHidden/>
                <w:sz w:val="24"/>
                <w:szCs w:val="24"/>
              </w:rPr>
              <w:fldChar w:fldCharType="begin"/>
            </w:r>
            <w:r w:rsidR="003B3FC7" w:rsidRPr="003B3FC7">
              <w:rPr>
                <w:rFonts w:ascii="Palatino Linotype" w:hAnsi="Palatino Linotype"/>
                <w:noProof/>
                <w:webHidden/>
                <w:sz w:val="24"/>
                <w:szCs w:val="24"/>
              </w:rPr>
              <w:instrText xml:space="preserve"> PAGEREF _Toc264967 \h </w:instrText>
            </w:r>
            <w:r w:rsidR="003B3FC7" w:rsidRPr="003B3FC7">
              <w:rPr>
                <w:rFonts w:ascii="Palatino Linotype" w:hAnsi="Palatino Linotype"/>
                <w:noProof/>
                <w:webHidden/>
                <w:sz w:val="24"/>
                <w:szCs w:val="24"/>
              </w:rPr>
            </w:r>
            <w:r w:rsidR="003B3FC7" w:rsidRPr="003B3FC7">
              <w:rPr>
                <w:rFonts w:ascii="Palatino Linotype" w:hAnsi="Palatino Linotype"/>
                <w:noProof/>
                <w:webHidden/>
                <w:sz w:val="24"/>
                <w:szCs w:val="24"/>
              </w:rPr>
              <w:fldChar w:fldCharType="separate"/>
            </w:r>
            <w:r w:rsidR="003B3FC7" w:rsidRPr="003B3FC7">
              <w:rPr>
                <w:rFonts w:ascii="Palatino Linotype" w:hAnsi="Palatino Linotype"/>
                <w:noProof/>
                <w:webHidden/>
                <w:sz w:val="24"/>
                <w:szCs w:val="24"/>
              </w:rPr>
              <w:t>6</w:t>
            </w:r>
            <w:r w:rsidR="003B3FC7" w:rsidRPr="003B3FC7">
              <w:rPr>
                <w:rFonts w:ascii="Palatino Linotype" w:hAnsi="Palatino Linotype"/>
                <w:noProof/>
                <w:webHidden/>
                <w:sz w:val="24"/>
                <w:szCs w:val="24"/>
              </w:rPr>
              <w:fldChar w:fldCharType="end"/>
            </w:r>
          </w:hyperlink>
        </w:p>
        <w:p w:rsidR="003B3FC7" w:rsidRPr="003B3FC7" w:rsidRDefault="00F70D94">
          <w:pPr>
            <w:pStyle w:val="TDC1"/>
            <w:rPr>
              <w:rFonts w:ascii="Palatino Linotype" w:eastAsiaTheme="minorEastAsia" w:hAnsi="Palatino Linotype"/>
              <w:noProof/>
              <w:sz w:val="24"/>
              <w:szCs w:val="24"/>
              <w:lang w:eastAsia="es-MX"/>
            </w:rPr>
          </w:pPr>
          <w:hyperlink w:anchor="_Toc264968" w:history="1">
            <w:r w:rsidR="003B3FC7" w:rsidRPr="003B3FC7">
              <w:rPr>
                <w:rStyle w:val="Hipervnculo"/>
                <w:rFonts w:ascii="Palatino Linotype" w:hAnsi="Palatino Linotype"/>
                <w:noProof/>
                <w:sz w:val="24"/>
                <w:szCs w:val="24"/>
              </w:rPr>
              <w:t>IV.</w:t>
            </w:r>
            <w:r w:rsidR="003B3FC7" w:rsidRPr="003B3FC7">
              <w:rPr>
                <w:rFonts w:ascii="Palatino Linotype" w:eastAsiaTheme="minorEastAsia" w:hAnsi="Palatino Linotype"/>
                <w:noProof/>
                <w:sz w:val="24"/>
                <w:szCs w:val="24"/>
                <w:lang w:eastAsia="es-MX"/>
              </w:rPr>
              <w:tab/>
            </w:r>
            <w:r w:rsidR="003B3FC7" w:rsidRPr="003B3FC7">
              <w:rPr>
                <w:rStyle w:val="Hipervnculo"/>
                <w:rFonts w:ascii="Palatino Linotype" w:hAnsi="Palatino Linotype"/>
                <w:noProof/>
                <w:sz w:val="24"/>
                <w:szCs w:val="24"/>
              </w:rPr>
              <w:t>La naturaleza del Título Profesional.</w:t>
            </w:r>
            <w:r w:rsidR="003B3FC7" w:rsidRPr="003B3FC7">
              <w:rPr>
                <w:rFonts w:ascii="Palatino Linotype" w:hAnsi="Palatino Linotype"/>
                <w:noProof/>
                <w:webHidden/>
                <w:sz w:val="24"/>
                <w:szCs w:val="24"/>
              </w:rPr>
              <w:tab/>
            </w:r>
            <w:r w:rsidR="003B3FC7" w:rsidRPr="003B3FC7">
              <w:rPr>
                <w:rFonts w:ascii="Palatino Linotype" w:hAnsi="Palatino Linotype"/>
                <w:noProof/>
                <w:webHidden/>
                <w:sz w:val="24"/>
                <w:szCs w:val="24"/>
              </w:rPr>
              <w:fldChar w:fldCharType="begin"/>
            </w:r>
            <w:r w:rsidR="003B3FC7" w:rsidRPr="003B3FC7">
              <w:rPr>
                <w:rFonts w:ascii="Palatino Linotype" w:hAnsi="Palatino Linotype"/>
                <w:noProof/>
                <w:webHidden/>
                <w:sz w:val="24"/>
                <w:szCs w:val="24"/>
              </w:rPr>
              <w:instrText xml:space="preserve"> PAGEREF _Toc264968 \h </w:instrText>
            </w:r>
            <w:r w:rsidR="003B3FC7" w:rsidRPr="003B3FC7">
              <w:rPr>
                <w:rFonts w:ascii="Palatino Linotype" w:hAnsi="Palatino Linotype"/>
                <w:noProof/>
                <w:webHidden/>
                <w:sz w:val="24"/>
                <w:szCs w:val="24"/>
              </w:rPr>
            </w:r>
            <w:r w:rsidR="003B3FC7" w:rsidRPr="003B3FC7">
              <w:rPr>
                <w:rFonts w:ascii="Palatino Linotype" w:hAnsi="Palatino Linotype"/>
                <w:noProof/>
                <w:webHidden/>
                <w:sz w:val="24"/>
                <w:szCs w:val="24"/>
              </w:rPr>
              <w:fldChar w:fldCharType="separate"/>
            </w:r>
            <w:r w:rsidR="003B3FC7" w:rsidRPr="003B3FC7">
              <w:rPr>
                <w:rFonts w:ascii="Palatino Linotype" w:hAnsi="Palatino Linotype"/>
                <w:noProof/>
                <w:webHidden/>
                <w:sz w:val="24"/>
                <w:szCs w:val="24"/>
              </w:rPr>
              <w:t>14</w:t>
            </w:r>
            <w:r w:rsidR="003B3FC7" w:rsidRPr="003B3FC7">
              <w:rPr>
                <w:rFonts w:ascii="Palatino Linotype" w:hAnsi="Palatino Linotype"/>
                <w:noProof/>
                <w:webHidden/>
                <w:sz w:val="24"/>
                <w:szCs w:val="24"/>
              </w:rPr>
              <w:fldChar w:fldCharType="end"/>
            </w:r>
          </w:hyperlink>
        </w:p>
        <w:p w:rsidR="003B3FC7" w:rsidRPr="003B3FC7" w:rsidRDefault="00F70D94">
          <w:pPr>
            <w:pStyle w:val="TDC1"/>
            <w:rPr>
              <w:rFonts w:ascii="Palatino Linotype" w:eastAsiaTheme="minorEastAsia" w:hAnsi="Palatino Linotype"/>
              <w:noProof/>
              <w:sz w:val="24"/>
              <w:szCs w:val="24"/>
              <w:lang w:eastAsia="es-MX"/>
            </w:rPr>
          </w:pPr>
          <w:hyperlink w:anchor="_Toc264969" w:history="1">
            <w:r w:rsidR="003B3FC7" w:rsidRPr="003B3FC7">
              <w:rPr>
                <w:rStyle w:val="Hipervnculo"/>
                <w:rFonts w:ascii="Palatino Linotype" w:hAnsi="Palatino Linotype"/>
                <w:noProof/>
                <w:sz w:val="24"/>
                <w:szCs w:val="24"/>
              </w:rPr>
              <w:t>V.</w:t>
            </w:r>
            <w:r w:rsidR="003B3FC7" w:rsidRPr="003B3FC7">
              <w:rPr>
                <w:rFonts w:ascii="Palatino Linotype" w:eastAsiaTheme="minorEastAsia" w:hAnsi="Palatino Linotype"/>
                <w:noProof/>
                <w:sz w:val="24"/>
                <w:szCs w:val="24"/>
                <w:lang w:eastAsia="es-MX"/>
              </w:rPr>
              <w:tab/>
            </w:r>
            <w:r w:rsidR="003B3FC7" w:rsidRPr="003B3FC7">
              <w:rPr>
                <w:rStyle w:val="Hipervnculo"/>
                <w:rFonts w:ascii="Palatino Linotype" w:hAnsi="Palatino Linotype"/>
                <w:noProof/>
                <w:sz w:val="24"/>
                <w:szCs w:val="24"/>
              </w:rPr>
              <w:t>Conclusión</w:t>
            </w:r>
            <w:r w:rsidR="003B3FC7" w:rsidRPr="003B3FC7">
              <w:rPr>
                <w:rFonts w:ascii="Palatino Linotype" w:hAnsi="Palatino Linotype"/>
                <w:noProof/>
                <w:webHidden/>
                <w:sz w:val="24"/>
                <w:szCs w:val="24"/>
              </w:rPr>
              <w:tab/>
            </w:r>
            <w:r w:rsidR="003B3FC7" w:rsidRPr="003B3FC7">
              <w:rPr>
                <w:rFonts w:ascii="Palatino Linotype" w:hAnsi="Palatino Linotype"/>
                <w:noProof/>
                <w:webHidden/>
                <w:sz w:val="24"/>
                <w:szCs w:val="24"/>
              </w:rPr>
              <w:fldChar w:fldCharType="begin"/>
            </w:r>
            <w:r w:rsidR="003B3FC7" w:rsidRPr="003B3FC7">
              <w:rPr>
                <w:rFonts w:ascii="Palatino Linotype" w:hAnsi="Palatino Linotype"/>
                <w:noProof/>
                <w:webHidden/>
                <w:sz w:val="24"/>
                <w:szCs w:val="24"/>
              </w:rPr>
              <w:instrText xml:space="preserve"> PAGEREF _Toc264969 \h </w:instrText>
            </w:r>
            <w:r w:rsidR="003B3FC7" w:rsidRPr="003B3FC7">
              <w:rPr>
                <w:rFonts w:ascii="Palatino Linotype" w:hAnsi="Palatino Linotype"/>
                <w:noProof/>
                <w:webHidden/>
                <w:sz w:val="24"/>
                <w:szCs w:val="24"/>
              </w:rPr>
            </w:r>
            <w:r w:rsidR="003B3FC7" w:rsidRPr="003B3FC7">
              <w:rPr>
                <w:rFonts w:ascii="Palatino Linotype" w:hAnsi="Palatino Linotype"/>
                <w:noProof/>
                <w:webHidden/>
                <w:sz w:val="24"/>
                <w:szCs w:val="24"/>
              </w:rPr>
              <w:fldChar w:fldCharType="separate"/>
            </w:r>
            <w:r w:rsidR="003B3FC7" w:rsidRPr="003B3FC7">
              <w:rPr>
                <w:rFonts w:ascii="Palatino Linotype" w:hAnsi="Palatino Linotype"/>
                <w:noProof/>
                <w:webHidden/>
                <w:sz w:val="24"/>
                <w:szCs w:val="24"/>
              </w:rPr>
              <w:t>25</w:t>
            </w:r>
            <w:r w:rsidR="003B3FC7" w:rsidRPr="003B3FC7">
              <w:rPr>
                <w:rFonts w:ascii="Palatino Linotype" w:hAnsi="Palatino Linotype"/>
                <w:noProof/>
                <w:webHidden/>
                <w:sz w:val="24"/>
                <w:szCs w:val="24"/>
              </w:rPr>
              <w:fldChar w:fldCharType="end"/>
            </w:r>
          </w:hyperlink>
        </w:p>
        <w:p w:rsidR="0046491C" w:rsidRPr="003B3FC7" w:rsidRDefault="0046491C" w:rsidP="0046491C">
          <w:pPr>
            <w:rPr>
              <w:rFonts w:ascii="Palatino Linotype" w:hAnsi="Palatino Linotype"/>
              <w:sz w:val="24"/>
              <w:szCs w:val="24"/>
            </w:rPr>
          </w:pPr>
          <w:r w:rsidRPr="003B3FC7">
            <w:rPr>
              <w:rFonts w:ascii="Palatino Linotype" w:hAnsi="Palatino Linotype"/>
              <w:b/>
              <w:bCs/>
              <w:sz w:val="24"/>
              <w:szCs w:val="24"/>
              <w:lang w:val="es-ES"/>
            </w:rPr>
            <w:fldChar w:fldCharType="end"/>
          </w:r>
        </w:p>
      </w:sdtContent>
    </w:sdt>
    <w:p w:rsidR="0046491C" w:rsidRPr="00B10C1A" w:rsidRDefault="0046491C" w:rsidP="0046491C">
      <w:pPr>
        <w:pStyle w:val="Ttulo1"/>
        <w:numPr>
          <w:ilvl w:val="0"/>
          <w:numId w:val="12"/>
        </w:numPr>
        <w:rPr>
          <w:szCs w:val="24"/>
        </w:rPr>
      </w:pPr>
      <w:bookmarkStart w:id="0" w:name="_Toc264965"/>
      <w:r w:rsidRPr="00B10C1A">
        <w:rPr>
          <w:szCs w:val="24"/>
        </w:rPr>
        <w:t>Consideraciones Generales.</w:t>
      </w:r>
      <w:bookmarkEnd w:id="0"/>
    </w:p>
    <w:p w:rsidR="0046491C" w:rsidRPr="00B10C1A" w:rsidRDefault="0046491C" w:rsidP="0046491C">
      <w:pPr>
        <w:pStyle w:val="Prrafodelista"/>
        <w:spacing w:after="0" w:line="360" w:lineRule="auto"/>
        <w:ind w:left="1080"/>
        <w:jc w:val="both"/>
        <w:rPr>
          <w:rFonts w:ascii="Palatino Linotype" w:hAnsi="Palatino Linotype" w:cs="Arial"/>
          <w:b/>
          <w:sz w:val="24"/>
          <w:szCs w:val="24"/>
        </w:rPr>
      </w:pPr>
    </w:p>
    <w:p w:rsidR="0082270E" w:rsidRPr="00B10C1A" w:rsidRDefault="0046491C" w:rsidP="0082270E">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eastAsia="Times New Roman" w:hAnsi="Palatino Linotype" w:cs="Arial"/>
          <w:sz w:val="24"/>
          <w:szCs w:val="24"/>
          <w:lang w:val="es-ES_tradnl"/>
        </w:rPr>
        <w:t xml:space="preserve">He concurrido con mi </w:t>
      </w:r>
      <w:r w:rsidR="00D33AF9" w:rsidRPr="00B10C1A">
        <w:rPr>
          <w:rFonts w:ascii="Palatino Linotype" w:eastAsia="Times New Roman" w:hAnsi="Palatino Linotype" w:cs="Arial"/>
          <w:sz w:val="24"/>
          <w:szCs w:val="24"/>
          <w:lang w:val="es-ES_tradnl"/>
        </w:rPr>
        <w:t>voto</w:t>
      </w:r>
      <w:r w:rsidRPr="00B10C1A">
        <w:rPr>
          <w:rFonts w:ascii="Palatino Linotype" w:eastAsia="Times New Roman" w:hAnsi="Palatino Linotype" w:cs="Arial"/>
          <w:sz w:val="24"/>
          <w:szCs w:val="24"/>
          <w:lang w:val="es-ES_tradnl"/>
        </w:rPr>
        <w:t xml:space="preserve"> particular de la presente resolución emitida </w:t>
      </w:r>
      <w:r w:rsidRPr="00B10C1A">
        <w:rPr>
          <w:rFonts w:ascii="Palatino Linotype" w:hAnsi="Palatino Linotype" w:cs="Arial"/>
          <w:sz w:val="24"/>
          <w:szCs w:val="24"/>
        </w:rPr>
        <w:t>por el Pleno del Instituto de Transparencia, Acceso a la Información Pública y Protección de Datos Personales del Estado de Méxi</w:t>
      </w:r>
      <w:r w:rsidR="00410C93" w:rsidRPr="00B10C1A">
        <w:rPr>
          <w:rFonts w:ascii="Palatino Linotype" w:hAnsi="Palatino Linotype" w:cs="Arial"/>
          <w:sz w:val="24"/>
          <w:szCs w:val="24"/>
        </w:rPr>
        <w:t xml:space="preserve">co y Municipios, en su </w:t>
      </w:r>
      <w:r w:rsidR="00137288">
        <w:rPr>
          <w:rFonts w:ascii="Palatino Linotype" w:hAnsi="Palatino Linotype" w:cs="Arial"/>
          <w:sz w:val="24"/>
          <w:szCs w:val="24"/>
        </w:rPr>
        <w:t>cuarta</w:t>
      </w:r>
      <w:r w:rsidR="00AF3716" w:rsidRPr="00B10C1A">
        <w:rPr>
          <w:rFonts w:ascii="Palatino Linotype" w:hAnsi="Palatino Linotype" w:cs="Arial"/>
          <w:sz w:val="24"/>
          <w:szCs w:val="24"/>
        </w:rPr>
        <w:t xml:space="preserve"> sesión</w:t>
      </w:r>
      <w:r w:rsidRPr="00B10C1A">
        <w:rPr>
          <w:rFonts w:ascii="Palatino Linotype" w:hAnsi="Palatino Linotype" w:cs="Arial"/>
          <w:sz w:val="24"/>
          <w:szCs w:val="24"/>
        </w:rPr>
        <w:t xml:space="preserve"> ordinaria de fecha </w:t>
      </w:r>
      <w:r w:rsidR="00044B99">
        <w:rPr>
          <w:rFonts w:ascii="Palatino Linotype" w:hAnsi="Palatino Linotype" w:cs="Arial"/>
          <w:sz w:val="24"/>
          <w:szCs w:val="24"/>
        </w:rPr>
        <w:t xml:space="preserve">treinta </w:t>
      </w:r>
      <w:r w:rsidR="00410C93" w:rsidRPr="00B10C1A">
        <w:rPr>
          <w:rFonts w:ascii="Palatino Linotype" w:hAnsi="Palatino Linotype" w:cs="Arial"/>
          <w:sz w:val="24"/>
          <w:szCs w:val="24"/>
        </w:rPr>
        <w:t>(</w:t>
      </w:r>
      <w:r w:rsidR="00044B99">
        <w:rPr>
          <w:rFonts w:ascii="Palatino Linotype" w:hAnsi="Palatino Linotype" w:cs="Arial"/>
          <w:sz w:val="24"/>
          <w:szCs w:val="24"/>
        </w:rPr>
        <w:t>3</w:t>
      </w:r>
      <w:r w:rsidR="00137288">
        <w:rPr>
          <w:rFonts w:ascii="Palatino Linotype" w:hAnsi="Palatino Linotype" w:cs="Arial"/>
          <w:sz w:val="24"/>
          <w:szCs w:val="24"/>
        </w:rPr>
        <w:t>0</w:t>
      </w:r>
      <w:r w:rsidRPr="00B10C1A">
        <w:rPr>
          <w:rFonts w:ascii="Palatino Linotype" w:hAnsi="Palatino Linotype" w:cs="Arial"/>
          <w:sz w:val="24"/>
          <w:szCs w:val="24"/>
        </w:rPr>
        <w:t xml:space="preserve">) de </w:t>
      </w:r>
      <w:r w:rsidR="00137288">
        <w:rPr>
          <w:rFonts w:ascii="Palatino Linotype" w:hAnsi="Palatino Linotype" w:cs="Arial"/>
          <w:sz w:val="24"/>
          <w:szCs w:val="24"/>
        </w:rPr>
        <w:t>enero</w:t>
      </w:r>
      <w:r w:rsidR="00410C93" w:rsidRPr="00B10C1A">
        <w:rPr>
          <w:rFonts w:ascii="Palatino Linotype" w:hAnsi="Palatino Linotype" w:cs="Arial"/>
          <w:sz w:val="24"/>
          <w:szCs w:val="24"/>
        </w:rPr>
        <w:t xml:space="preserve"> de dos mil dieci</w:t>
      </w:r>
      <w:r w:rsidR="00137288">
        <w:rPr>
          <w:rFonts w:ascii="Palatino Linotype" w:hAnsi="Palatino Linotype" w:cs="Arial"/>
          <w:sz w:val="24"/>
          <w:szCs w:val="24"/>
        </w:rPr>
        <w:t>nueve</w:t>
      </w:r>
      <w:r w:rsidR="0082270E" w:rsidRPr="00B10C1A">
        <w:rPr>
          <w:rFonts w:ascii="Palatino Linotype" w:hAnsi="Palatino Linotype" w:cs="Arial"/>
          <w:sz w:val="24"/>
          <w:szCs w:val="24"/>
        </w:rPr>
        <w:t xml:space="preserve">, en </w:t>
      </w:r>
      <w:r w:rsidR="00770B87" w:rsidRPr="00B10C1A">
        <w:rPr>
          <w:rFonts w:ascii="Palatino Linotype" w:hAnsi="Palatino Linotype" w:cs="Arial"/>
          <w:sz w:val="24"/>
          <w:szCs w:val="24"/>
        </w:rPr>
        <w:t xml:space="preserve">el </w:t>
      </w:r>
      <w:r w:rsidRPr="00B10C1A">
        <w:rPr>
          <w:rFonts w:ascii="Palatino Linotype" w:hAnsi="Palatino Linotype" w:cs="Arial"/>
          <w:sz w:val="24"/>
          <w:szCs w:val="24"/>
        </w:rPr>
        <w:lastRenderedPageBreak/>
        <w:t>recurso</w:t>
      </w:r>
      <w:r w:rsidR="0082270E" w:rsidRPr="00B10C1A">
        <w:rPr>
          <w:rFonts w:ascii="Palatino Linotype" w:hAnsi="Palatino Linotype" w:cs="Arial"/>
          <w:sz w:val="24"/>
          <w:szCs w:val="24"/>
        </w:rPr>
        <w:t xml:space="preserve"> de revisión promovido</w:t>
      </w:r>
      <w:r w:rsidRPr="00B10C1A">
        <w:rPr>
          <w:rFonts w:ascii="Palatino Linotype" w:hAnsi="Palatino Linotype" w:cs="Arial"/>
          <w:sz w:val="24"/>
          <w:szCs w:val="24"/>
        </w:rPr>
        <w:t>,</w:t>
      </w:r>
      <w:r w:rsidRPr="00B10C1A">
        <w:rPr>
          <w:rFonts w:ascii="Palatino Linotype" w:hAnsi="Palatino Linotype" w:cs="Arial"/>
          <w:b/>
          <w:sz w:val="24"/>
          <w:szCs w:val="24"/>
        </w:rPr>
        <w:t xml:space="preserve"> </w:t>
      </w:r>
      <w:r w:rsidRPr="00B10C1A">
        <w:rPr>
          <w:rFonts w:ascii="Palatino Linotype" w:hAnsi="Palatino Linotype" w:cs="Arial"/>
          <w:sz w:val="24"/>
          <w:szCs w:val="24"/>
        </w:rPr>
        <w:t>en contra de la respuesta de</w:t>
      </w:r>
      <w:r w:rsidR="0082270E" w:rsidRPr="00B10C1A">
        <w:rPr>
          <w:rFonts w:ascii="Palatino Linotype" w:hAnsi="Palatino Linotype" w:cs="Arial"/>
          <w:sz w:val="24"/>
          <w:szCs w:val="24"/>
        </w:rPr>
        <w:t>l</w:t>
      </w:r>
      <w:r w:rsidRPr="00B10C1A">
        <w:rPr>
          <w:rFonts w:ascii="Palatino Linotype" w:hAnsi="Palatino Linotype" w:cs="Arial"/>
          <w:sz w:val="24"/>
          <w:szCs w:val="24"/>
        </w:rPr>
        <w:t xml:space="preserve"> </w:t>
      </w:r>
      <w:r w:rsidR="00137288">
        <w:rPr>
          <w:rFonts w:ascii="Palatino Linotype" w:eastAsia="Calibri" w:hAnsi="Palatino Linotype" w:cs="Times New Roman"/>
          <w:b/>
          <w:sz w:val="24"/>
          <w:szCs w:val="24"/>
          <w:lang w:val="es-ES" w:eastAsia="es-ES"/>
        </w:rPr>
        <w:t>Instituto de Transparencia Acceso a la Información Pública y Protección de Datos Personales del Estado de México y Municipios</w:t>
      </w:r>
      <w:r w:rsidRPr="00B10C1A">
        <w:rPr>
          <w:rFonts w:ascii="Palatino Linotype" w:hAnsi="Palatino Linotype" w:cs="Arial"/>
          <w:sz w:val="24"/>
          <w:szCs w:val="24"/>
        </w:rPr>
        <w:t>, procedimiento a</w:t>
      </w:r>
      <w:r w:rsidR="0000525F" w:rsidRPr="00B10C1A">
        <w:rPr>
          <w:rFonts w:ascii="Palatino Linotype" w:hAnsi="Palatino Linotype" w:cs="Arial"/>
          <w:sz w:val="24"/>
          <w:szCs w:val="24"/>
        </w:rPr>
        <w:t>l</w:t>
      </w:r>
      <w:r w:rsidR="00902248" w:rsidRPr="00B10C1A">
        <w:rPr>
          <w:rFonts w:ascii="Palatino Linotype" w:hAnsi="Palatino Linotype" w:cs="Arial"/>
          <w:sz w:val="24"/>
          <w:szCs w:val="24"/>
        </w:rPr>
        <w:t xml:space="preserve"> que se le asignó </w:t>
      </w:r>
      <w:r w:rsidR="0000525F" w:rsidRPr="00B10C1A">
        <w:rPr>
          <w:rFonts w:ascii="Palatino Linotype" w:hAnsi="Palatino Linotype" w:cs="Arial"/>
          <w:sz w:val="24"/>
          <w:szCs w:val="24"/>
        </w:rPr>
        <w:t>el</w:t>
      </w:r>
      <w:r w:rsidRPr="00B10C1A">
        <w:rPr>
          <w:rFonts w:ascii="Palatino Linotype" w:hAnsi="Palatino Linotype" w:cs="Arial"/>
          <w:sz w:val="24"/>
          <w:szCs w:val="24"/>
        </w:rPr>
        <w:t xml:space="preserve"> número de expediente </w:t>
      </w:r>
      <w:r w:rsidR="003B44CB" w:rsidRPr="00B10C1A">
        <w:rPr>
          <w:rFonts w:ascii="Palatino Linotype" w:hAnsi="Palatino Linotype" w:cs="Arial"/>
          <w:b/>
          <w:bCs/>
          <w:lang w:eastAsia="es-MX"/>
        </w:rPr>
        <w:t>0</w:t>
      </w:r>
      <w:r w:rsidR="00137288">
        <w:rPr>
          <w:rFonts w:ascii="Palatino Linotype" w:hAnsi="Palatino Linotype" w:cs="Arial"/>
          <w:b/>
          <w:bCs/>
          <w:lang w:eastAsia="es-MX"/>
        </w:rPr>
        <w:t>4266</w:t>
      </w:r>
      <w:r w:rsidR="00441939" w:rsidRPr="00B10C1A">
        <w:rPr>
          <w:rFonts w:ascii="Palatino Linotype" w:hAnsi="Palatino Linotype" w:cs="Arial"/>
          <w:b/>
          <w:bCs/>
          <w:lang w:eastAsia="es-MX"/>
        </w:rPr>
        <w:t>/</w:t>
      </w:r>
      <w:r w:rsidR="00117841" w:rsidRPr="00B10C1A">
        <w:rPr>
          <w:rFonts w:ascii="Palatino Linotype" w:hAnsi="Palatino Linotype" w:cs="Arial"/>
          <w:b/>
          <w:bCs/>
          <w:lang w:eastAsia="es-MX"/>
        </w:rPr>
        <w:t>INFOEM/IP/RR/2018.</w:t>
      </w:r>
    </w:p>
    <w:p w:rsidR="00770B87" w:rsidRPr="00B10C1A" w:rsidRDefault="00770B87" w:rsidP="00770B87">
      <w:pPr>
        <w:pStyle w:val="Prrafodelista"/>
        <w:spacing w:after="0" w:line="360" w:lineRule="auto"/>
        <w:ind w:left="426"/>
        <w:jc w:val="both"/>
        <w:rPr>
          <w:rFonts w:ascii="Palatino Linotype" w:hAnsi="Palatino Linotype" w:cs="Arial"/>
          <w:sz w:val="24"/>
          <w:szCs w:val="24"/>
        </w:rPr>
      </w:pPr>
    </w:p>
    <w:p w:rsidR="007A23D1" w:rsidRPr="00B10C1A" w:rsidRDefault="0085533E" w:rsidP="00044B99">
      <w:pPr>
        <w:pStyle w:val="Prrafodelista"/>
        <w:numPr>
          <w:ilvl w:val="0"/>
          <w:numId w:val="1"/>
        </w:numPr>
        <w:spacing w:after="0" w:line="360" w:lineRule="auto"/>
        <w:ind w:left="426"/>
        <w:jc w:val="both"/>
        <w:rPr>
          <w:rFonts w:ascii="Palatino Linotype" w:eastAsia="Arial Unicode MS" w:hAnsi="Palatino Linotype" w:cs="Arial"/>
          <w:i/>
        </w:rPr>
      </w:pPr>
      <w:r w:rsidRPr="00B10C1A">
        <w:rPr>
          <w:rFonts w:ascii="Palatino Linotype" w:eastAsia="Times New Roman" w:hAnsi="Palatino Linotype" w:cs="Arial"/>
          <w:sz w:val="24"/>
          <w:szCs w:val="24"/>
          <w:lang w:val="es-ES_tradnl"/>
        </w:rPr>
        <w:t>La</w:t>
      </w:r>
      <w:r w:rsidRPr="00B10C1A">
        <w:rPr>
          <w:rFonts w:ascii="Palatino Linotype" w:hAnsi="Palatino Linotype" w:cs="Arial"/>
          <w:sz w:val="24"/>
          <w:szCs w:val="24"/>
        </w:rPr>
        <w:t xml:space="preserve"> resolución </w:t>
      </w:r>
      <w:r w:rsidR="00044B99">
        <w:rPr>
          <w:rFonts w:ascii="Palatino Linotype" w:hAnsi="Palatino Linotype" w:cs="Arial"/>
          <w:sz w:val="24"/>
          <w:szCs w:val="24"/>
        </w:rPr>
        <w:t xml:space="preserve"> </w:t>
      </w:r>
      <w:r w:rsidR="00137288">
        <w:rPr>
          <w:rFonts w:ascii="Palatino Linotype" w:hAnsi="Palatino Linotype" w:cs="Arial"/>
          <w:sz w:val="24"/>
          <w:szCs w:val="24"/>
        </w:rPr>
        <w:t>confirma la respuesta emitida por el Sujeto Obligado a la solicitud de información</w:t>
      </w:r>
      <w:r w:rsidR="00044B99">
        <w:rPr>
          <w:rFonts w:ascii="Palatino Linotype" w:hAnsi="Palatino Linotype" w:cs="Arial"/>
          <w:sz w:val="24"/>
          <w:szCs w:val="24"/>
        </w:rPr>
        <w:t xml:space="preserve">. </w:t>
      </w:r>
    </w:p>
    <w:p w:rsidR="00AF3716" w:rsidRPr="00B10C1A" w:rsidRDefault="00AF3716" w:rsidP="005C2977">
      <w:pPr>
        <w:pStyle w:val="Prrafodelista"/>
        <w:spacing w:after="0" w:line="240" w:lineRule="auto"/>
        <w:ind w:left="851" w:right="616"/>
        <w:jc w:val="both"/>
        <w:rPr>
          <w:rFonts w:ascii="Palatino Linotype" w:hAnsi="Palatino Linotype" w:cs="Arial"/>
          <w:b/>
          <w:i/>
          <w:sz w:val="24"/>
          <w:szCs w:val="24"/>
        </w:rPr>
      </w:pPr>
    </w:p>
    <w:p w:rsidR="0046491C" w:rsidRDefault="0046491C" w:rsidP="00B46F4B">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Mi </w:t>
      </w:r>
      <w:r w:rsidR="00D33AF9" w:rsidRPr="00B10C1A">
        <w:rPr>
          <w:rFonts w:ascii="Palatino Linotype" w:hAnsi="Palatino Linotype" w:cs="Arial"/>
          <w:sz w:val="24"/>
          <w:szCs w:val="24"/>
        </w:rPr>
        <w:t>voto</w:t>
      </w:r>
      <w:r w:rsidRPr="00B10C1A">
        <w:rPr>
          <w:rFonts w:ascii="Palatino Linotype" w:hAnsi="Palatino Linotype" w:cs="Arial"/>
          <w:sz w:val="24"/>
          <w:szCs w:val="24"/>
        </w:rPr>
        <w:t xml:space="preserve"> particular se deriva del hecho de que se haya invocado la figura de actos consentidos en el presente asunto, resultando del todo innecesario hacer referencia a dicha figura, pese a que</w:t>
      </w:r>
      <w:r w:rsidR="00302274" w:rsidRPr="00B10C1A">
        <w:rPr>
          <w:rFonts w:ascii="Palatino Linotype" w:hAnsi="Palatino Linotype" w:cs="Arial"/>
          <w:sz w:val="24"/>
          <w:szCs w:val="24"/>
        </w:rPr>
        <w:t xml:space="preserve"> en sentido de la resolución </w:t>
      </w:r>
      <w:r w:rsidR="00FA799E">
        <w:rPr>
          <w:rFonts w:ascii="Palatino Linotype" w:hAnsi="Palatino Linotype" w:cs="Arial"/>
          <w:sz w:val="24"/>
          <w:szCs w:val="24"/>
        </w:rPr>
        <w:t>confirmar</w:t>
      </w:r>
      <w:r w:rsidRPr="00B10C1A">
        <w:rPr>
          <w:rFonts w:ascii="Palatino Linotype" w:hAnsi="Palatino Linotype" w:cs="Arial"/>
          <w:sz w:val="24"/>
          <w:szCs w:val="24"/>
        </w:rPr>
        <w:t xml:space="preserve"> la</w:t>
      </w:r>
      <w:r w:rsidR="00441939" w:rsidRPr="00B10C1A">
        <w:rPr>
          <w:rFonts w:ascii="Palatino Linotype" w:hAnsi="Palatino Linotype" w:cs="Arial"/>
          <w:sz w:val="24"/>
          <w:szCs w:val="24"/>
        </w:rPr>
        <w:t>s</w:t>
      </w:r>
      <w:r w:rsidRPr="00B10C1A">
        <w:rPr>
          <w:rFonts w:ascii="Palatino Linotype" w:hAnsi="Palatino Linotype" w:cs="Arial"/>
          <w:sz w:val="24"/>
          <w:szCs w:val="24"/>
        </w:rPr>
        <w:t xml:space="preserve"> respuesta</w:t>
      </w:r>
      <w:r w:rsidR="00441939" w:rsidRPr="00B10C1A">
        <w:rPr>
          <w:rFonts w:ascii="Palatino Linotype" w:hAnsi="Palatino Linotype" w:cs="Arial"/>
          <w:sz w:val="24"/>
          <w:szCs w:val="24"/>
        </w:rPr>
        <w:t>s</w:t>
      </w:r>
      <w:r w:rsidRPr="00B10C1A">
        <w:rPr>
          <w:rFonts w:ascii="Palatino Linotype" w:hAnsi="Palatino Linotype" w:cs="Arial"/>
          <w:sz w:val="24"/>
          <w:szCs w:val="24"/>
        </w:rPr>
        <w:t xml:space="preserve"> proporcionada</w:t>
      </w:r>
      <w:r w:rsidR="00441939" w:rsidRPr="00B10C1A">
        <w:rPr>
          <w:rFonts w:ascii="Palatino Linotype" w:hAnsi="Palatino Linotype" w:cs="Arial"/>
          <w:sz w:val="24"/>
          <w:szCs w:val="24"/>
        </w:rPr>
        <w:t>s</w:t>
      </w:r>
      <w:r w:rsidRPr="00B10C1A">
        <w:rPr>
          <w:rFonts w:ascii="Palatino Linotype" w:hAnsi="Palatino Linotype" w:cs="Arial"/>
          <w:sz w:val="24"/>
          <w:szCs w:val="24"/>
        </w:rPr>
        <w:t xml:space="preserve"> a la</w:t>
      </w:r>
      <w:r w:rsidR="00441939" w:rsidRPr="00B10C1A">
        <w:rPr>
          <w:rFonts w:ascii="Palatino Linotype" w:hAnsi="Palatino Linotype" w:cs="Arial"/>
          <w:sz w:val="24"/>
          <w:szCs w:val="24"/>
        </w:rPr>
        <w:t>s</w:t>
      </w:r>
      <w:r w:rsidRPr="00B10C1A">
        <w:rPr>
          <w:rFonts w:ascii="Palatino Linotype" w:hAnsi="Palatino Linotype" w:cs="Arial"/>
          <w:sz w:val="24"/>
          <w:szCs w:val="24"/>
        </w:rPr>
        <w:t xml:space="preserve"> solicitud</w:t>
      </w:r>
      <w:r w:rsidR="00441939" w:rsidRPr="00B10C1A">
        <w:rPr>
          <w:rFonts w:ascii="Palatino Linotype" w:hAnsi="Palatino Linotype" w:cs="Arial"/>
          <w:sz w:val="24"/>
          <w:szCs w:val="24"/>
        </w:rPr>
        <w:t>es</w:t>
      </w:r>
      <w:r w:rsidRPr="00B10C1A">
        <w:rPr>
          <w:rFonts w:ascii="Palatino Linotype" w:hAnsi="Palatino Linotype" w:cs="Arial"/>
          <w:sz w:val="24"/>
          <w:szCs w:val="24"/>
        </w:rPr>
        <w:t>, lo cual he manifestado en diversas ocasiones señalando que no deben invocarse en el derecho de acceso a la información pública.</w:t>
      </w:r>
    </w:p>
    <w:p w:rsidR="00FA799E" w:rsidRPr="00FA799E" w:rsidRDefault="00FA799E" w:rsidP="00FA799E">
      <w:pPr>
        <w:pStyle w:val="Prrafodelista"/>
        <w:rPr>
          <w:rFonts w:ascii="Palatino Linotype" w:hAnsi="Palatino Linotype" w:cs="Arial"/>
          <w:sz w:val="24"/>
          <w:szCs w:val="24"/>
        </w:rPr>
      </w:pPr>
    </w:p>
    <w:p w:rsidR="00FA799E" w:rsidRPr="00FA799E" w:rsidRDefault="00FA799E" w:rsidP="00FA799E">
      <w:pPr>
        <w:pStyle w:val="Prrafodelista"/>
        <w:numPr>
          <w:ilvl w:val="0"/>
          <w:numId w:val="1"/>
        </w:numPr>
        <w:spacing w:after="0" w:line="360" w:lineRule="auto"/>
        <w:ind w:left="426"/>
        <w:jc w:val="both"/>
        <w:rPr>
          <w:rFonts w:ascii="Palatino Linotype" w:hAnsi="Palatino Linotype" w:cs="Arial"/>
          <w:sz w:val="24"/>
          <w:szCs w:val="24"/>
        </w:rPr>
      </w:pPr>
      <w:r w:rsidRPr="00FA799E">
        <w:rPr>
          <w:rFonts w:ascii="Palatino Linotype" w:hAnsi="Palatino Linotype" w:cs="Arial"/>
          <w:sz w:val="24"/>
          <w:szCs w:val="24"/>
        </w:rPr>
        <w:t xml:space="preserve">Por otro lado respecto </w:t>
      </w:r>
      <w:r w:rsidRPr="00FA799E">
        <w:rPr>
          <w:rFonts w:ascii="Palatino Linotype" w:hAnsi="Palatino Linotype" w:cs="Arial"/>
        </w:rPr>
        <w:t xml:space="preserve">considerando </w:t>
      </w:r>
      <w:r>
        <w:rPr>
          <w:rFonts w:ascii="Palatino Linotype" w:hAnsi="Palatino Linotype" w:cs="Arial"/>
        </w:rPr>
        <w:t>Cuarto</w:t>
      </w:r>
      <w:r w:rsidRPr="00FA799E">
        <w:rPr>
          <w:rFonts w:ascii="Palatino Linotype" w:hAnsi="Palatino Linotype" w:cs="Arial"/>
        </w:rPr>
        <w:t xml:space="preserve"> en el que se considera satisfecho el derecho de acceso a la información pública del </w:t>
      </w:r>
      <w:r>
        <w:rPr>
          <w:rFonts w:ascii="Palatino Linotype" w:hAnsi="Palatino Linotype" w:cs="Arial"/>
        </w:rPr>
        <w:t>recurrente</w:t>
      </w:r>
      <w:r w:rsidRPr="00FA799E">
        <w:rPr>
          <w:rFonts w:ascii="Palatino Linotype" w:hAnsi="Palatino Linotype" w:cs="Arial"/>
          <w:b/>
        </w:rPr>
        <w:t xml:space="preserve"> </w:t>
      </w:r>
      <w:r w:rsidRPr="00FA799E">
        <w:rPr>
          <w:rFonts w:ascii="Palatino Linotype" w:hAnsi="Palatino Linotype" w:cs="Arial"/>
        </w:rPr>
        <w:t xml:space="preserve">respecto a </w:t>
      </w:r>
      <w:r>
        <w:rPr>
          <w:rFonts w:ascii="Palatino Linotype" w:hAnsi="Palatino Linotype" w:cs="Arial"/>
        </w:rPr>
        <w:t>los documentos que acrediten el último grado de estudios de servidores públicos adscritos a la Dirección de Datos Personales</w:t>
      </w:r>
      <w:r w:rsidRPr="00FA799E">
        <w:rPr>
          <w:rFonts w:ascii="Palatino Linotype" w:hAnsi="Palatino Linotype" w:cs="Arial"/>
        </w:rPr>
        <w:t xml:space="preserve">, documentación integrada por </w:t>
      </w:r>
      <w:r>
        <w:rPr>
          <w:rFonts w:ascii="Palatino Linotype" w:hAnsi="Palatino Linotype" w:cs="Arial"/>
        </w:rPr>
        <w:t>el título y certificado de estudios</w:t>
      </w:r>
      <w:r w:rsidRPr="00FA799E">
        <w:rPr>
          <w:rFonts w:ascii="Palatino Linotype" w:hAnsi="Palatino Linotype" w:cs="Arial"/>
        </w:rPr>
        <w:t xml:space="preserve"> en versión pública, destacando que el </w:t>
      </w:r>
      <w:r>
        <w:rPr>
          <w:rFonts w:ascii="Palatino Linotype" w:hAnsi="Palatino Linotype" w:cs="Arial"/>
        </w:rPr>
        <w:t>Sujeto Obligado</w:t>
      </w:r>
      <w:r w:rsidRPr="00FA799E">
        <w:rPr>
          <w:rFonts w:ascii="Palatino Linotype" w:hAnsi="Palatino Linotype" w:cs="Arial"/>
          <w:b/>
        </w:rPr>
        <w:t xml:space="preserve"> </w:t>
      </w:r>
      <w:r w:rsidRPr="00FA799E">
        <w:rPr>
          <w:rFonts w:ascii="Palatino Linotype" w:hAnsi="Palatino Linotype" w:cs="Arial"/>
        </w:rPr>
        <w:t>testó la</w:t>
      </w:r>
      <w:r>
        <w:rPr>
          <w:rFonts w:ascii="Palatino Linotype" w:hAnsi="Palatino Linotype" w:cs="Arial"/>
        </w:rPr>
        <w:t xml:space="preserve"> fotografía en ambos documentos</w:t>
      </w:r>
      <w:r w:rsidRPr="00FA799E">
        <w:rPr>
          <w:rFonts w:ascii="Palatino Linotype" w:hAnsi="Palatino Linotype" w:cs="Arial"/>
        </w:rPr>
        <w:t xml:space="preserve"> como una medida necesaria para protegerla, dada su naturaleza como dato personal, lo que consideramos debe conducirnos a una reflexión de mayor profundidad</w:t>
      </w:r>
    </w:p>
    <w:p w:rsidR="00B46F4B" w:rsidRPr="00B10C1A" w:rsidRDefault="00B46F4B" w:rsidP="00B46F4B">
      <w:pPr>
        <w:pStyle w:val="Prrafodelista"/>
        <w:spacing w:after="0" w:line="360" w:lineRule="auto"/>
        <w:ind w:left="426"/>
        <w:jc w:val="both"/>
        <w:rPr>
          <w:rFonts w:ascii="Palatino Linotype" w:hAnsi="Palatino Linotype" w:cs="Arial"/>
          <w:sz w:val="24"/>
          <w:szCs w:val="24"/>
        </w:rPr>
      </w:pPr>
    </w:p>
    <w:p w:rsidR="0046491C" w:rsidRPr="00B10C1A" w:rsidRDefault="0046491C" w:rsidP="00B46F4B">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lastRenderedPageBreak/>
        <w:t>Por tal motivo y en</w:t>
      </w:r>
      <w:r w:rsidR="009C3135" w:rsidRPr="00B10C1A">
        <w:rPr>
          <w:rFonts w:ascii="Palatino Linotype" w:hAnsi="Palatino Linotype" w:cs="Arial"/>
          <w:sz w:val="24"/>
          <w:szCs w:val="24"/>
        </w:rPr>
        <w:t xml:space="preserve"> términos de lo señalado por el</w:t>
      </w:r>
      <w:r w:rsidRPr="00B10C1A">
        <w:rPr>
          <w:rFonts w:ascii="Palatino Linotype" w:hAnsi="Palatino Linotype" w:cs="Arial"/>
          <w:sz w:val="24"/>
          <w:szCs w:val="24"/>
        </w:rPr>
        <w:t xml:space="preserve"> artículo </w:t>
      </w:r>
      <w:r w:rsidR="009C3135" w:rsidRPr="00B10C1A">
        <w:rPr>
          <w:rFonts w:ascii="Palatino Linotype" w:hAnsi="Palatino Linotype" w:cs="Arial"/>
          <w:sz w:val="24"/>
          <w:szCs w:val="24"/>
        </w:rPr>
        <w:t>14 fracción X</w:t>
      </w:r>
      <w:r w:rsidRPr="00B10C1A">
        <w:rPr>
          <w:rFonts w:ascii="Palatino Linotype" w:hAnsi="Palatino Linotype" w:cs="Arial"/>
          <w:sz w:val="24"/>
          <w:szCs w:val="24"/>
        </w:rPr>
        <w:t xml:space="preserve">I del Reglamento Interior del Instituto de Transparencia y Acceso a la Información Pública del Estado de México y Municipios formulo el presente </w:t>
      </w:r>
      <w:r w:rsidR="00FA799E">
        <w:rPr>
          <w:rFonts w:ascii="Palatino Linotype" w:hAnsi="Palatino Linotype" w:cs="Arial"/>
          <w:sz w:val="24"/>
          <w:szCs w:val="24"/>
        </w:rPr>
        <w:t>v</w:t>
      </w:r>
      <w:r w:rsidRPr="00B10C1A">
        <w:rPr>
          <w:rFonts w:ascii="Palatino Linotype" w:hAnsi="Palatino Linotype" w:cs="Arial"/>
          <w:sz w:val="24"/>
          <w:szCs w:val="24"/>
        </w:rPr>
        <w:t xml:space="preserve">oto particular. </w:t>
      </w:r>
    </w:p>
    <w:p w:rsidR="00920A6F" w:rsidRPr="00B10C1A" w:rsidRDefault="00920A6F" w:rsidP="00920A6F">
      <w:pPr>
        <w:pStyle w:val="Prrafodelista"/>
        <w:rPr>
          <w:rFonts w:ascii="Palatino Linotype" w:hAnsi="Palatino Linotype" w:cs="Arial"/>
          <w:sz w:val="24"/>
          <w:szCs w:val="24"/>
        </w:rPr>
      </w:pPr>
    </w:p>
    <w:p w:rsidR="0046491C" w:rsidRPr="00B10C1A" w:rsidRDefault="0046491C" w:rsidP="0046491C">
      <w:pPr>
        <w:pStyle w:val="Ttulo1"/>
        <w:numPr>
          <w:ilvl w:val="0"/>
          <w:numId w:val="12"/>
        </w:numPr>
        <w:rPr>
          <w:szCs w:val="24"/>
        </w:rPr>
      </w:pPr>
      <w:bookmarkStart w:id="1" w:name="_Toc264966"/>
      <w:r w:rsidRPr="00B10C1A">
        <w:rPr>
          <w:szCs w:val="24"/>
        </w:rPr>
        <w:t>De los requerimientos planteados en el recurso de revisión.</w:t>
      </w:r>
      <w:bookmarkEnd w:id="1"/>
    </w:p>
    <w:p w:rsidR="0046491C" w:rsidRPr="00B10C1A" w:rsidRDefault="0046491C" w:rsidP="0046491C">
      <w:pPr>
        <w:pStyle w:val="Prrafodelista"/>
        <w:spacing w:line="360" w:lineRule="auto"/>
        <w:ind w:left="1080"/>
        <w:jc w:val="both"/>
        <w:rPr>
          <w:rFonts w:ascii="Palatino Linotype" w:hAnsi="Palatino Linotype" w:cs="Arial"/>
          <w:b/>
          <w:sz w:val="24"/>
          <w:szCs w:val="24"/>
        </w:rPr>
      </w:pPr>
    </w:p>
    <w:p w:rsidR="0046491C" w:rsidRPr="00B10C1A" w:rsidRDefault="002E7894" w:rsidP="000F0579">
      <w:pPr>
        <w:pStyle w:val="Prrafodelista"/>
        <w:numPr>
          <w:ilvl w:val="0"/>
          <w:numId w:val="1"/>
        </w:numPr>
        <w:spacing w:after="0" w:line="360" w:lineRule="auto"/>
        <w:ind w:left="426"/>
        <w:jc w:val="both"/>
        <w:rPr>
          <w:rFonts w:ascii="Palatino Linotype" w:eastAsia="Times New Roman" w:hAnsi="Palatino Linotype" w:cs="Arial"/>
          <w:sz w:val="24"/>
          <w:szCs w:val="24"/>
        </w:rPr>
      </w:pPr>
      <w:r w:rsidRPr="00B10C1A">
        <w:rPr>
          <w:rFonts w:ascii="Palatino Linotype" w:hAnsi="Palatino Linotype"/>
        </w:rPr>
        <w:t>El particular</w:t>
      </w:r>
      <w:r w:rsidR="0046491C" w:rsidRPr="00B10C1A">
        <w:rPr>
          <w:rFonts w:ascii="Palatino Linotype" w:hAnsi="Palatino Linotype" w:cs="Arial"/>
          <w:sz w:val="24"/>
          <w:szCs w:val="24"/>
        </w:rPr>
        <w:t>, mediante la solicitud de acceso a la información</w:t>
      </w:r>
      <w:r w:rsidR="0046491C" w:rsidRPr="00B10C1A">
        <w:rPr>
          <w:rFonts w:ascii="Palatino Linotype" w:hAnsi="Palatino Linotype" w:cs="Arial"/>
          <w:b/>
        </w:rPr>
        <w:t>,</w:t>
      </w:r>
      <w:r w:rsidR="00902248" w:rsidRPr="00B10C1A">
        <w:rPr>
          <w:rFonts w:ascii="Palatino Linotype" w:hAnsi="Palatino Linotype" w:cs="Arial"/>
          <w:b/>
        </w:rPr>
        <w:t xml:space="preserve"> </w:t>
      </w:r>
      <w:r w:rsidR="0046491C" w:rsidRPr="00B10C1A">
        <w:rPr>
          <w:rFonts w:ascii="Palatino Linotype" w:hAnsi="Palatino Linotype" w:cs="Arial"/>
          <w:sz w:val="24"/>
          <w:szCs w:val="24"/>
        </w:rPr>
        <w:t xml:space="preserve">requirió lo siguiente: </w:t>
      </w:r>
    </w:p>
    <w:p w:rsidR="00602B26" w:rsidRPr="00B10C1A" w:rsidRDefault="00602B26" w:rsidP="00441939">
      <w:pPr>
        <w:pStyle w:val="Prrafodelista"/>
        <w:spacing w:before="100" w:beforeAutospacing="1" w:after="100" w:afterAutospacing="1" w:line="360" w:lineRule="auto"/>
        <w:ind w:left="851"/>
        <w:jc w:val="both"/>
        <w:rPr>
          <w:rFonts w:ascii="Palatino Linotype" w:hAnsi="Palatino Linotype" w:cs="Arial"/>
          <w:b/>
        </w:rPr>
      </w:pPr>
    </w:p>
    <w:p w:rsidR="00602B26" w:rsidRPr="00B10C1A" w:rsidRDefault="00441939" w:rsidP="007A23D1">
      <w:pPr>
        <w:pStyle w:val="Prrafodelista"/>
        <w:spacing w:before="100" w:beforeAutospacing="1" w:after="100" w:afterAutospacing="1"/>
        <w:ind w:left="851" w:right="851"/>
        <w:jc w:val="both"/>
        <w:rPr>
          <w:rFonts w:ascii="Palatino Linotype" w:hAnsi="Palatino Linotype" w:cs="Arial"/>
          <w:i/>
        </w:rPr>
      </w:pPr>
      <w:r w:rsidRPr="00B10C1A">
        <w:rPr>
          <w:rFonts w:ascii="Palatino Linotype" w:hAnsi="Palatino Linotype" w:cs="Arial"/>
          <w:i/>
        </w:rPr>
        <w:t>“</w:t>
      </w:r>
      <w:r w:rsidR="00FA799E" w:rsidRPr="00FA799E">
        <w:rPr>
          <w:rFonts w:ascii="Palatino Linotype" w:hAnsi="Palatino Linotype" w:cs="Arial"/>
          <w:i/>
        </w:rPr>
        <w:t xml:space="preserve">Soy un servidor público que asistí </w:t>
      </w:r>
      <w:proofErr w:type="spellStart"/>
      <w:r w:rsidR="00FA799E" w:rsidRPr="00FA799E">
        <w:rPr>
          <w:rFonts w:ascii="Palatino Linotype" w:hAnsi="Palatino Linotype" w:cs="Arial"/>
          <w:i/>
        </w:rPr>
        <w:t>auna</w:t>
      </w:r>
      <w:proofErr w:type="spellEnd"/>
      <w:r w:rsidR="00FA799E" w:rsidRPr="00FA799E">
        <w:rPr>
          <w:rFonts w:ascii="Palatino Linotype" w:hAnsi="Palatino Linotype" w:cs="Arial"/>
          <w:i/>
        </w:rPr>
        <w:t xml:space="preserve"> reunión requerida por el Director de Protección de Datos Personales de ese </w:t>
      </w:r>
      <w:proofErr w:type="spellStart"/>
      <w:r w:rsidR="00FA799E" w:rsidRPr="00FA799E">
        <w:rPr>
          <w:rFonts w:ascii="Palatino Linotype" w:hAnsi="Palatino Linotype" w:cs="Arial"/>
          <w:i/>
        </w:rPr>
        <w:t>Instituto</w:t>
      </w:r>
      <w:proofErr w:type="gramStart"/>
      <w:r w:rsidR="00FA799E" w:rsidRPr="00FA799E">
        <w:rPr>
          <w:rFonts w:ascii="Palatino Linotype" w:hAnsi="Palatino Linotype" w:cs="Arial"/>
          <w:i/>
        </w:rPr>
        <w:t>,el</w:t>
      </w:r>
      <w:proofErr w:type="spellEnd"/>
      <w:proofErr w:type="gramEnd"/>
      <w:r w:rsidR="00FA799E" w:rsidRPr="00FA799E">
        <w:rPr>
          <w:rFonts w:ascii="Palatino Linotype" w:hAnsi="Palatino Linotype" w:cs="Arial"/>
          <w:i/>
        </w:rPr>
        <w:t xml:space="preserve"> cual, al asistir a dicha reunión, el Lic. Rafael Hernández Vera me </w:t>
      </w:r>
      <w:proofErr w:type="spellStart"/>
      <w:r w:rsidR="00FA799E" w:rsidRPr="00FA799E">
        <w:rPr>
          <w:rFonts w:ascii="Palatino Linotype" w:hAnsi="Palatino Linotype" w:cs="Arial"/>
          <w:i/>
        </w:rPr>
        <w:t>empezo</w:t>
      </w:r>
      <w:proofErr w:type="spellEnd"/>
      <w:r w:rsidR="00FA799E" w:rsidRPr="00FA799E">
        <w:rPr>
          <w:rFonts w:ascii="Palatino Linotype" w:hAnsi="Palatino Linotype" w:cs="Arial"/>
          <w:i/>
        </w:rPr>
        <w:t xml:space="preserve"> a hablar de la portabilidad de datos personales, bueno me trato de explicar sobre las bases de datos que manejamos. Sin embargo, lo </w:t>
      </w:r>
      <w:proofErr w:type="spellStart"/>
      <w:r w:rsidR="00FA799E" w:rsidRPr="00FA799E">
        <w:rPr>
          <w:rFonts w:ascii="Palatino Linotype" w:hAnsi="Palatino Linotype" w:cs="Arial"/>
          <w:i/>
        </w:rPr>
        <w:t>unico</w:t>
      </w:r>
      <w:proofErr w:type="spellEnd"/>
      <w:r w:rsidR="00FA799E" w:rsidRPr="00FA799E">
        <w:rPr>
          <w:rFonts w:ascii="Palatino Linotype" w:hAnsi="Palatino Linotype" w:cs="Arial"/>
          <w:i/>
        </w:rPr>
        <w:t xml:space="preserve"> que denoto es su falta de conocimiento, experiencia y capacidad sobre el tema de protección de datos personales; por lo que, solicito me proporcionen los documentos que acrediten su ultimo grado de estudios y los documentos que acrediten sus conocimientos y desempeño en materia de protección de datos personales, ya que en dicha reunión lo asistió su secretaria o asistente de nombre Silvia Arellano y en su intervención denoto mayor conocimiento en el tema y explico de manera clara lo que </w:t>
      </w:r>
      <w:proofErr w:type="spellStart"/>
      <w:r w:rsidR="00FA799E" w:rsidRPr="00FA799E">
        <w:rPr>
          <w:rFonts w:ascii="Palatino Linotype" w:hAnsi="Palatino Linotype" w:cs="Arial"/>
          <w:i/>
        </w:rPr>
        <w:t>pretendia</w:t>
      </w:r>
      <w:proofErr w:type="spellEnd"/>
      <w:r w:rsidR="00FA799E" w:rsidRPr="00FA799E">
        <w:rPr>
          <w:rFonts w:ascii="Palatino Linotype" w:hAnsi="Palatino Linotype" w:cs="Arial"/>
          <w:i/>
        </w:rPr>
        <w:t xml:space="preserve"> pedir el director; por </w:t>
      </w:r>
      <w:proofErr w:type="spellStart"/>
      <w:r w:rsidR="00FA799E" w:rsidRPr="00FA799E">
        <w:rPr>
          <w:rFonts w:ascii="Palatino Linotype" w:hAnsi="Palatino Linotype" w:cs="Arial"/>
          <w:i/>
        </w:rPr>
        <w:t>loque</w:t>
      </w:r>
      <w:proofErr w:type="spellEnd"/>
      <w:r w:rsidR="00FA799E" w:rsidRPr="00FA799E">
        <w:rPr>
          <w:rFonts w:ascii="Palatino Linotype" w:hAnsi="Palatino Linotype" w:cs="Arial"/>
          <w:i/>
        </w:rPr>
        <w:t xml:space="preserve">, </w:t>
      </w:r>
      <w:proofErr w:type="spellStart"/>
      <w:r w:rsidR="00FA799E" w:rsidRPr="00FA799E">
        <w:rPr>
          <w:rFonts w:ascii="Palatino Linotype" w:hAnsi="Palatino Linotype" w:cs="Arial"/>
          <w:i/>
        </w:rPr>
        <w:t>tambien</w:t>
      </w:r>
      <w:proofErr w:type="spellEnd"/>
      <w:r w:rsidR="00FA799E" w:rsidRPr="00FA799E">
        <w:rPr>
          <w:rFonts w:ascii="Palatino Linotype" w:hAnsi="Palatino Linotype" w:cs="Arial"/>
          <w:i/>
        </w:rPr>
        <w:t xml:space="preserve"> quiero que me proporcionen el grado </w:t>
      </w:r>
      <w:proofErr w:type="spellStart"/>
      <w:r w:rsidR="00FA799E" w:rsidRPr="00FA799E">
        <w:rPr>
          <w:rFonts w:ascii="Palatino Linotype" w:hAnsi="Palatino Linotype" w:cs="Arial"/>
          <w:i/>
        </w:rPr>
        <w:t>maximo</w:t>
      </w:r>
      <w:proofErr w:type="spellEnd"/>
      <w:r w:rsidR="00FA799E" w:rsidRPr="00FA799E">
        <w:rPr>
          <w:rFonts w:ascii="Palatino Linotype" w:hAnsi="Palatino Linotype" w:cs="Arial"/>
          <w:i/>
        </w:rPr>
        <w:t xml:space="preserve"> de estudios y los documentos que comprueben su experiencia y conocimientos en la materia de protección de datos personales</w:t>
      </w:r>
      <w:r w:rsidR="007A23D1" w:rsidRPr="00B10C1A">
        <w:rPr>
          <w:rFonts w:ascii="Palatino Linotype" w:hAnsi="Palatino Linotype" w:cs="Arial"/>
          <w:i/>
        </w:rPr>
        <w:t>” (Sic)</w:t>
      </w:r>
    </w:p>
    <w:p w:rsidR="00AF3716" w:rsidRPr="00B10C1A" w:rsidRDefault="00AF3716" w:rsidP="007A23D1">
      <w:pPr>
        <w:pStyle w:val="Prrafodelista"/>
        <w:spacing w:before="100" w:beforeAutospacing="1" w:after="100" w:afterAutospacing="1"/>
        <w:ind w:left="851" w:right="851"/>
        <w:jc w:val="both"/>
        <w:rPr>
          <w:rFonts w:ascii="Palatino Linotype" w:hAnsi="Palatino Linotype" w:cs="Arial"/>
          <w:i/>
        </w:rPr>
      </w:pPr>
    </w:p>
    <w:p w:rsidR="007A23D1" w:rsidRPr="00B10C1A" w:rsidRDefault="007A23D1" w:rsidP="007A23D1">
      <w:pPr>
        <w:pStyle w:val="Prrafodelista"/>
        <w:spacing w:before="100" w:beforeAutospacing="1" w:after="100" w:afterAutospacing="1"/>
        <w:ind w:left="851" w:right="851"/>
        <w:jc w:val="both"/>
        <w:rPr>
          <w:rFonts w:ascii="Palatino Linotype" w:hAnsi="Palatino Linotype" w:cs="Arial"/>
          <w:b/>
        </w:rPr>
      </w:pPr>
    </w:p>
    <w:p w:rsidR="002006FF" w:rsidRPr="00B10C1A" w:rsidRDefault="002006FF" w:rsidP="00117841">
      <w:pPr>
        <w:pStyle w:val="Prrafodelista"/>
        <w:numPr>
          <w:ilvl w:val="0"/>
          <w:numId w:val="1"/>
        </w:numPr>
        <w:spacing w:after="0" w:line="360" w:lineRule="auto"/>
        <w:jc w:val="both"/>
        <w:rPr>
          <w:rFonts w:ascii="Palatino Linotype" w:hAnsi="Palatino Linotype" w:cs="Arial"/>
          <w:sz w:val="24"/>
          <w:szCs w:val="24"/>
        </w:rPr>
      </w:pPr>
      <w:r w:rsidRPr="00B10C1A">
        <w:rPr>
          <w:rFonts w:ascii="Palatino Linotype" w:hAnsi="Palatino Linotype" w:cs="Arial"/>
          <w:sz w:val="24"/>
          <w:szCs w:val="24"/>
          <w:lang w:eastAsia="es-MX"/>
        </w:rPr>
        <w:t xml:space="preserve">Cabe señalar, que el </w:t>
      </w:r>
      <w:r w:rsidR="00FA799E">
        <w:rPr>
          <w:rFonts w:ascii="Palatino Linotype" w:hAnsi="Palatino Linotype" w:cs="Arial"/>
          <w:sz w:val="24"/>
          <w:szCs w:val="24"/>
          <w:lang w:eastAsia="es-MX"/>
        </w:rPr>
        <w:t>Sujeto Obligado</w:t>
      </w:r>
      <w:r w:rsidRPr="00B10C1A">
        <w:rPr>
          <w:rFonts w:ascii="Palatino Linotype" w:hAnsi="Palatino Linotype" w:cs="Arial"/>
          <w:b/>
          <w:sz w:val="24"/>
          <w:szCs w:val="24"/>
          <w:lang w:eastAsia="es-MX"/>
        </w:rPr>
        <w:t xml:space="preserve"> </w:t>
      </w:r>
      <w:r w:rsidRPr="00B10C1A">
        <w:rPr>
          <w:rFonts w:ascii="Palatino Linotype" w:hAnsi="Palatino Linotype" w:cs="Arial"/>
          <w:sz w:val="24"/>
          <w:szCs w:val="24"/>
          <w:lang w:eastAsia="es-MX"/>
        </w:rPr>
        <w:t xml:space="preserve">respondió </w:t>
      </w:r>
      <w:r w:rsidR="007A23D1" w:rsidRPr="00B10C1A">
        <w:rPr>
          <w:rFonts w:ascii="Palatino Linotype" w:hAnsi="Palatino Linotype" w:cs="Arial"/>
          <w:sz w:val="24"/>
          <w:szCs w:val="24"/>
          <w:lang w:eastAsia="es-MX"/>
        </w:rPr>
        <w:t>al</w:t>
      </w:r>
      <w:r w:rsidRPr="00B10C1A">
        <w:rPr>
          <w:rFonts w:ascii="Palatino Linotype" w:hAnsi="Palatino Linotype" w:cs="Arial"/>
          <w:sz w:val="24"/>
          <w:szCs w:val="24"/>
          <w:lang w:eastAsia="es-MX"/>
        </w:rPr>
        <w:t xml:space="preserve"> requerimiento planteado por el particular</w:t>
      </w:r>
      <w:r w:rsidR="002E7894" w:rsidRPr="00B10C1A">
        <w:rPr>
          <w:rFonts w:ascii="Palatino Linotype" w:hAnsi="Palatino Linotype" w:cs="Arial"/>
          <w:sz w:val="24"/>
          <w:szCs w:val="24"/>
          <w:lang w:eastAsia="es-MX"/>
        </w:rPr>
        <w:t xml:space="preserve"> en la</w:t>
      </w:r>
      <w:r w:rsidR="004472A9" w:rsidRPr="00B10C1A">
        <w:rPr>
          <w:rFonts w:ascii="Palatino Linotype" w:hAnsi="Palatino Linotype" w:cs="Arial"/>
          <w:sz w:val="24"/>
          <w:szCs w:val="24"/>
          <w:lang w:eastAsia="es-MX"/>
        </w:rPr>
        <w:t xml:space="preserve"> solicitud de información</w:t>
      </w:r>
      <w:r w:rsidRPr="00B10C1A">
        <w:rPr>
          <w:rFonts w:ascii="Palatino Linotype" w:hAnsi="Palatino Linotype" w:cs="Arial"/>
          <w:sz w:val="24"/>
          <w:szCs w:val="24"/>
          <w:lang w:eastAsia="es-MX"/>
        </w:rPr>
        <w:t xml:space="preserve">, </w:t>
      </w:r>
      <w:r w:rsidR="004472A9" w:rsidRPr="00B10C1A">
        <w:rPr>
          <w:rFonts w:ascii="Palatino Linotype" w:hAnsi="Palatino Linotype" w:cs="Arial"/>
          <w:sz w:val="24"/>
          <w:szCs w:val="24"/>
          <w:lang w:eastAsia="es-MX"/>
        </w:rPr>
        <w:t xml:space="preserve">motivo por el cual, al interponer </w:t>
      </w:r>
      <w:r w:rsidR="00996597" w:rsidRPr="00B10C1A">
        <w:rPr>
          <w:rFonts w:ascii="Palatino Linotype" w:hAnsi="Palatino Linotype" w:cs="Arial"/>
          <w:sz w:val="24"/>
          <w:szCs w:val="24"/>
          <w:lang w:eastAsia="es-MX"/>
        </w:rPr>
        <w:t>el</w:t>
      </w:r>
      <w:r w:rsidR="004472A9" w:rsidRPr="00B10C1A">
        <w:rPr>
          <w:rFonts w:ascii="Palatino Linotype" w:hAnsi="Palatino Linotype" w:cs="Arial"/>
          <w:sz w:val="24"/>
          <w:szCs w:val="24"/>
          <w:lang w:eastAsia="es-MX"/>
        </w:rPr>
        <w:t xml:space="preserve"> recurso de revisión manifestó en las razones o motivos de inconformidad </w:t>
      </w:r>
      <w:r w:rsidR="002E7894" w:rsidRPr="00B10C1A">
        <w:rPr>
          <w:rFonts w:ascii="Palatino Linotype" w:hAnsi="Palatino Linotype" w:cs="Arial"/>
          <w:sz w:val="24"/>
          <w:szCs w:val="24"/>
          <w:lang w:eastAsia="es-MX"/>
        </w:rPr>
        <w:t>el</w:t>
      </w:r>
      <w:r w:rsidR="004472A9" w:rsidRPr="00B10C1A">
        <w:rPr>
          <w:rFonts w:ascii="Palatino Linotype" w:hAnsi="Palatino Linotype" w:cs="Arial"/>
          <w:sz w:val="24"/>
          <w:szCs w:val="24"/>
          <w:lang w:eastAsia="es-MX"/>
        </w:rPr>
        <w:t xml:space="preserve"> </w:t>
      </w:r>
      <w:r w:rsidR="004472A9" w:rsidRPr="00B10C1A">
        <w:rPr>
          <w:rFonts w:ascii="Palatino Linotype" w:hAnsi="Palatino Linotype" w:cs="Arial"/>
          <w:sz w:val="24"/>
          <w:szCs w:val="24"/>
          <w:lang w:eastAsia="es-MX"/>
        </w:rPr>
        <w:lastRenderedPageBreak/>
        <w:t xml:space="preserve">rubro sobre </w:t>
      </w:r>
      <w:r w:rsidR="002E7894" w:rsidRPr="00B10C1A">
        <w:rPr>
          <w:rFonts w:ascii="Palatino Linotype" w:hAnsi="Palatino Linotype" w:cs="Arial"/>
          <w:sz w:val="24"/>
          <w:szCs w:val="24"/>
          <w:lang w:eastAsia="es-MX"/>
        </w:rPr>
        <w:t>el</w:t>
      </w:r>
      <w:r w:rsidR="004472A9" w:rsidRPr="00B10C1A">
        <w:rPr>
          <w:rFonts w:ascii="Palatino Linotype" w:hAnsi="Palatino Linotype" w:cs="Arial"/>
          <w:sz w:val="24"/>
          <w:szCs w:val="24"/>
          <w:lang w:eastAsia="es-MX"/>
        </w:rPr>
        <w:t xml:space="preserve"> cual </w:t>
      </w:r>
      <w:r w:rsidR="00AF3716" w:rsidRPr="00B10C1A">
        <w:rPr>
          <w:rFonts w:ascii="Palatino Linotype" w:hAnsi="Palatino Linotype" w:cs="Arial"/>
          <w:sz w:val="24"/>
          <w:szCs w:val="24"/>
          <w:lang w:eastAsia="es-MX"/>
        </w:rPr>
        <w:t>el</w:t>
      </w:r>
      <w:r w:rsidR="004472A9" w:rsidRPr="00B10C1A">
        <w:rPr>
          <w:rFonts w:ascii="Palatino Linotype" w:hAnsi="Palatino Linotype" w:cs="Arial"/>
          <w:sz w:val="24"/>
          <w:szCs w:val="24"/>
          <w:lang w:eastAsia="es-MX"/>
        </w:rPr>
        <w:t xml:space="preserve"> </w:t>
      </w:r>
      <w:r w:rsidR="00616E9B">
        <w:rPr>
          <w:rFonts w:ascii="Palatino Linotype" w:hAnsi="Palatino Linotype" w:cs="Arial"/>
          <w:b/>
          <w:sz w:val="24"/>
          <w:szCs w:val="24"/>
          <w:lang w:eastAsia="es-MX"/>
        </w:rPr>
        <w:t>Instituto de Transparencia Acceso a la Información Pública y Protección de Datos Personales del Estado de México y Municipio</w:t>
      </w:r>
      <w:r w:rsidR="00996597" w:rsidRPr="00B10C1A">
        <w:rPr>
          <w:rFonts w:ascii="Palatino Linotype" w:hAnsi="Palatino Linotype" w:cs="Arial"/>
          <w:b/>
          <w:sz w:val="24"/>
          <w:szCs w:val="24"/>
          <w:lang w:eastAsia="es-MX"/>
        </w:rPr>
        <w:t xml:space="preserve"> </w:t>
      </w:r>
      <w:r w:rsidR="004472A9" w:rsidRPr="00B10C1A">
        <w:rPr>
          <w:rFonts w:ascii="Palatino Linotype" w:hAnsi="Palatino Linotype" w:cs="Arial"/>
          <w:sz w:val="24"/>
          <w:szCs w:val="24"/>
          <w:lang w:eastAsia="es-MX"/>
        </w:rPr>
        <w:t xml:space="preserve">respondió parcialmente. </w:t>
      </w:r>
    </w:p>
    <w:p w:rsidR="002006FF" w:rsidRPr="00B10C1A" w:rsidRDefault="002006FF" w:rsidP="00634736">
      <w:pPr>
        <w:spacing w:line="276" w:lineRule="auto"/>
        <w:ind w:left="993" w:right="1041"/>
        <w:jc w:val="both"/>
        <w:rPr>
          <w:rFonts w:ascii="Palatino Linotype" w:hAnsi="Palatino Linotype" w:cs="Arial"/>
          <w:i/>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lang w:eastAsia="es-MX"/>
        </w:rPr>
        <w:t>Si</w:t>
      </w:r>
      <w:r w:rsidRPr="00B10C1A">
        <w:rPr>
          <w:rFonts w:ascii="Palatino Linotype" w:hAnsi="Palatino Linotype" w:cs="Arial"/>
          <w:sz w:val="24"/>
          <w:szCs w:val="24"/>
        </w:rPr>
        <w:t xml:space="preserve"> bien es de destacar, pese al impedimento de poder proporcionar la totalidad de la información solicitada y en lo particular en el estudio y desarrollo de dicha resolución fueron invocados los llamados actos consentidos, tal y como se observa en las siguientes líneas de la resolución en comento:</w:t>
      </w:r>
    </w:p>
    <w:p w:rsidR="00D73077" w:rsidRPr="00B10C1A" w:rsidRDefault="00D73077" w:rsidP="00D73077">
      <w:pPr>
        <w:pStyle w:val="Prrafodelista"/>
        <w:spacing w:after="0" w:line="360" w:lineRule="auto"/>
        <w:ind w:left="360"/>
        <w:jc w:val="both"/>
        <w:rPr>
          <w:rFonts w:ascii="Palatino Linotype" w:hAnsi="Palatino Linotype" w:cs="Arial"/>
          <w:sz w:val="24"/>
          <w:szCs w:val="24"/>
        </w:rPr>
      </w:pPr>
    </w:p>
    <w:p w:rsidR="00117841" w:rsidRPr="00B10C1A" w:rsidRDefault="0046491C" w:rsidP="00616E9B">
      <w:pPr>
        <w:spacing w:before="240" w:after="240" w:line="360" w:lineRule="auto"/>
        <w:ind w:left="851" w:right="616"/>
        <w:jc w:val="both"/>
        <w:rPr>
          <w:rFonts w:ascii="Palatino Linotype" w:hAnsi="Palatino Linotype"/>
          <w:i/>
        </w:rPr>
      </w:pPr>
      <w:r w:rsidRPr="00B10C1A">
        <w:rPr>
          <w:rFonts w:ascii="Palatino Linotype" w:hAnsi="Palatino Linotype" w:cs="Arial"/>
          <w:i/>
          <w:sz w:val="24"/>
          <w:szCs w:val="24"/>
        </w:rPr>
        <w:t>“</w:t>
      </w:r>
      <w:r w:rsidR="00616E9B" w:rsidRPr="00616E9B">
        <w:rPr>
          <w:rFonts w:ascii="Palatino Linotype" w:hAnsi="Palatino Linotype"/>
          <w:i/>
        </w:rPr>
        <w:t>En ese sentido, la versión pública de los documentos debe considerar un acto consentido tácitamente, en razón de que no se reclamaron por la vía y plazos establecidos en la Ley de Transparencia y Acceso a la Información Pública del Estado de México y Municipios, por lo que se presume que el particular está conforme con los mismos, de conformidad con lo plasmado en la Jurisprudencia “ACTOS CONSENTIDOS TACITAMENTE” (Semanario Judicial de la Federación y su Gaceta, Quinta Época, Tomo VI, 1995, p</w:t>
      </w:r>
      <w:r w:rsidR="00857D4E">
        <w:rPr>
          <w:rFonts w:ascii="Palatino Linotype" w:hAnsi="Palatino Linotype"/>
          <w:i/>
        </w:rPr>
        <w:t>ág. 11.)</w:t>
      </w:r>
      <w:r w:rsidR="00044B99" w:rsidRPr="00044B99">
        <w:rPr>
          <w:rFonts w:ascii="Palatino Linotype" w:hAnsi="Palatino Linotype"/>
          <w:i/>
        </w:rPr>
        <w:t>” (Sic)</w:t>
      </w:r>
      <w:r w:rsidR="003007A7" w:rsidRPr="00B10C1A">
        <w:rPr>
          <w:rFonts w:ascii="Palatino Linotype" w:hAnsi="Palatino Linotype"/>
          <w:i/>
        </w:rPr>
        <w:t>.”</w:t>
      </w:r>
      <w:r w:rsidR="007A23D1" w:rsidRPr="00B10C1A">
        <w:rPr>
          <w:rFonts w:ascii="Palatino Linotype" w:hAnsi="Palatino Linotype"/>
          <w:i/>
        </w:rPr>
        <w:t>.”</w:t>
      </w: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Derivado de lo transcrito con anterioridad, considero que la incorporación de dicho concepto en la resolución en comento resulta a todas luces innecesario y además no ha lugar a invocarlos en el derecho humano fundamental de acceder a la información pública gubernamental.</w:t>
      </w:r>
      <w:r w:rsidRPr="00B10C1A">
        <w:rPr>
          <w:rFonts w:ascii="Palatino Linotype" w:eastAsia="Calibri" w:hAnsi="Palatino Linotype" w:cs="Times New Roman"/>
          <w:sz w:val="24"/>
          <w:szCs w:val="24"/>
          <w:lang w:val="es-ES" w:eastAsia="es-ES"/>
        </w:rPr>
        <w:t xml:space="preserve"> Por lo que la mayoría consideró que la</w:t>
      </w:r>
      <w:r w:rsidR="004472A9" w:rsidRPr="00B10C1A">
        <w:rPr>
          <w:rFonts w:ascii="Palatino Linotype" w:eastAsia="Calibri" w:hAnsi="Palatino Linotype" w:cs="Times New Roman"/>
          <w:sz w:val="24"/>
          <w:szCs w:val="24"/>
          <w:lang w:val="es-ES" w:eastAsia="es-ES"/>
        </w:rPr>
        <w:t>s</w:t>
      </w:r>
      <w:r w:rsidRPr="00B10C1A">
        <w:rPr>
          <w:rFonts w:ascii="Palatino Linotype" w:eastAsia="Calibri" w:hAnsi="Palatino Linotype" w:cs="Times New Roman"/>
          <w:sz w:val="24"/>
          <w:szCs w:val="24"/>
          <w:lang w:val="es-ES" w:eastAsia="es-ES"/>
        </w:rPr>
        <w:t xml:space="preserve"> respuesta</w:t>
      </w:r>
      <w:r w:rsidR="004472A9" w:rsidRPr="00B10C1A">
        <w:rPr>
          <w:rFonts w:ascii="Palatino Linotype" w:eastAsia="Calibri" w:hAnsi="Palatino Linotype" w:cs="Times New Roman"/>
          <w:sz w:val="24"/>
          <w:szCs w:val="24"/>
          <w:lang w:val="es-ES" w:eastAsia="es-ES"/>
        </w:rPr>
        <w:t>s quedaron</w:t>
      </w:r>
      <w:r w:rsidRPr="00B10C1A">
        <w:rPr>
          <w:rFonts w:ascii="Palatino Linotype" w:eastAsia="Calibri" w:hAnsi="Palatino Linotype" w:cs="Times New Roman"/>
          <w:sz w:val="24"/>
          <w:szCs w:val="24"/>
          <w:lang w:val="es-ES" w:eastAsia="es-ES"/>
        </w:rPr>
        <w:t xml:space="preserve"> firme</w:t>
      </w:r>
      <w:r w:rsidR="004472A9" w:rsidRPr="00B10C1A">
        <w:rPr>
          <w:rFonts w:ascii="Palatino Linotype" w:eastAsia="Calibri" w:hAnsi="Palatino Linotype" w:cs="Times New Roman"/>
          <w:sz w:val="24"/>
          <w:szCs w:val="24"/>
          <w:lang w:val="es-ES" w:eastAsia="es-ES"/>
        </w:rPr>
        <w:t>s</w:t>
      </w:r>
      <w:r w:rsidRPr="00B10C1A">
        <w:rPr>
          <w:rFonts w:ascii="Palatino Linotype" w:eastAsia="Calibri" w:hAnsi="Palatino Linotype" w:cs="Times New Roman"/>
          <w:sz w:val="24"/>
          <w:szCs w:val="24"/>
          <w:lang w:val="es-ES" w:eastAsia="es-ES"/>
        </w:rPr>
        <w:t xml:space="preserve"> ante la falta de impugnación respecto al resto de los requerimientos que no fueron manifestados en el recurso de revisión. En el </w:t>
      </w:r>
      <w:r w:rsidRPr="00B10C1A">
        <w:rPr>
          <w:rFonts w:ascii="Palatino Linotype" w:eastAsia="Calibri" w:hAnsi="Palatino Linotype" w:cs="Times New Roman"/>
          <w:sz w:val="24"/>
          <w:szCs w:val="24"/>
          <w:lang w:val="es-ES" w:eastAsia="es-ES"/>
        </w:rPr>
        <w:lastRenderedPageBreak/>
        <w:t xml:space="preserve">presente asunto que nos ocupa, es de señalar que del análisis hecho a la resolución en comento, no se discute que el </w:t>
      </w:r>
      <w:r w:rsidR="00857D4E">
        <w:rPr>
          <w:rFonts w:ascii="Palatino Linotype" w:eastAsia="Calibri" w:hAnsi="Palatino Linotype" w:cs="Times New Roman"/>
          <w:sz w:val="24"/>
          <w:szCs w:val="24"/>
          <w:lang w:val="es-ES" w:eastAsia="es-ES"/>
        </w:rPr>
        <w:t>Sujeto Obligado</w:t>
      </w:r>
      <w:r w:rsidRPr="00B10C1A">
        <w:rPr>
          <w:rFonts w:ascii="Palatino Linotype" w:eastAsia="Calibri" w:hAnsi="Palatino Linotype" w:cs="Times New Roman"/>
          <w:sz w:val="24"/>
          <w:szCs w:val="24"/>
          <w:lang w:val="es-ES" w:eastAsia="es-ES"/>
        </w:rPr>
        <w:t xml:space="preserve"> ha dado respuesta a la solicitud de información que en lo particular nos ocupa, tan es así que la respuesta fue </w:t>
      </w:r>
      <w:r w:rsidR="00857D4E">
        <w:rPr>
          <w:rFonts w:ascii="Palatino Linotype" w:eastAsia="Calibri" w:hAnsi="Palatino Linotype" w:cs="Times New Roman"/>
          <w:sz w:val="24"/>
          <w:szCs w:val="24"/>
          <w:lang w:val="es-ES" w:eastAsia="es-ES"/>
        </w:rPr>
        <w:t>confirmada</w:t>
      </w:r>
      <w:r w:rsidRPr="00B10C1A">
        <w:rPr>
          <w:rFonts w:ascii="Palatino Linotype" w:eastAsia="Calibri" w:hAnsi="Palatino Linotype" w:cs="Times New Roman"/>
          <w:sz w:val="24"/>
          <w:szCs w:val="24"/>
          <w:lang w:val="es-ES" w:eastAsia="es-ES"/>
        </w:rPr>
        <w:t>, sin embargo, en el derecho de acceso a la información, considero, es innecesario señalar la figura de actos consentidos.</w:t>
      </w:r>
    </w:p>
    <w:p w:rsidR="0046491C" w:rsidRPr="00B10C1A" w:rsidRDefault="0046491C" w:rsidP="0046491C">
      <w:pPr>
        <w:pStyle w:val="Ttulo1"/>
        <w:numPr>
          <w:ilvl w:val="0"/>
          <w:numId w:val="12"/>
        </w:numPr>
        <w:rPr>
          <w:szCs w:val="24"/>
        </w:rPr>
      </w:pPr>
      <w:bookmarkStart w:id="2" w:name="_Toc264967"/>
      <w:r w:rsidRPr="00B10C1A">
        <w:rPr>
          <w:szCs w:val="24"/>
        </w:rPr>
        <w:t>Los actos consentidos no deben invocarse en el derecho fundamental de acceder a la información pública gubernamental.</w:t>
      </w:r>
      <w:bookmarkEnd w:id="2"/>
    </w:p>
    <w:p w:rsidR="0046491C" w:rsidRPr="00B10C1A" w:rsidRDefault="0046491C" w:rsidP="0046491C">
      <w:pPr>
        <w:pStyle w:val="Prrafodelista"/>
        <w:spacing w:after="0" w:line="360" w:lineRule="auto"/>
        <w:ind w:left="1080"/>
        <w:jc w:val="both"/>
        <w:rPr>
          <w:rFonts w:ascii="Palatino Linotype" w:hAnsi="Palatino Linotype" w:cs="Arial"/>
          <w:b/>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En la resolución se precisa de manera amplia y solvente, un criterio adoptado en un procedimiento jurisdiccional sobre los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B10C1A">
        <w:rPr>
          <w:rFonts w:ascii="Palatino Linotype" w:hAnsi="Palatino Linotype" w:cs="Arial"/>
          <w:b/>
          <w:sz w:val="24"/>
          <w:szCs w:val="24"/>
        </w:rPr>
        <w:t>acudir a un profesionista del derecho</w:t>
      </w:r>
      <w:r w:rsidRPr="00B10C1A">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w:t>
      </w:r>
      <w:r w:rsidRPr="00B10C1A">
        <w:rPr>
          <w:rFonts w:ascii="Palatino Linotype" w:hAnsi="Palatino Linotype" w:cs="Arial"/>
          <w:sz w:val="24"/>
          <w:szCs w:val="24"/>
        </w:rPr>
        <w:lastRenderedPageBreak/>
        <w:t>Transparencia de Transparencia y Acceso a la Información Pública del Estado de México y Municipios y del 146 de la Ley General de Transparencia y Acceso a la Información Pública, que contemplan  la figura de la suplencia de la queja.</w:t>
      </w:r>
    </w:p>
    <w:p w:rsidR="0046491C" w:rsidRPr="00B10C1A" w:rsidRDefault="0046491C" w:rsidP="0046491C">
      <w:pPr>
        <w:pStyle w:val="Prrafodelista"/>
        <w:spacing w:after="0" w:line="360" w:lineRule="auto"/>
        <w:ind w:left="426"/>
        <w:jc w:val="both"/>
        <w:rPr>
          <w:rFonts w:ascii="Palatino Linotype" w:hAnsi="Palatino Linotype" w:cs="Arial"/>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La figura de la suplencia de la queja, para Héctor </w:t>
      </w:r>
      <w:proofErr w:type="spellStart"/>
      <w:r w:rsidRPr="00B10C1A">
        <w:rPr>
          <w:rFonts w:ascii="Palatino Linotype" w:hAnsi="Palatino Linotype" w:cs="Arial"/>
          <w:sz w:val="24"/>
          <w:szCs w:val="24"/>
        </w:rPr>
        <w:t>Fix</w:t>
      </w:r>
      <w:proofErr w:type="spellEnd"/>
      <w:r w:rsidRPr="00B10C1A">
        <w:rPr>
          <w:rFonts w:ascii="Palatino Linotype" w:hAnsi="Palatino Linotype" w:cs="Arial"/>
          <w:sz w:val="24"/>
          <w:szCs w:val="24"/>
        </w:rPr>
        <w:t xml:space="preserve">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B10C1A">
        <w:rPr>
          <w:rStyle w:val="Refdenotaalpie"/>
          <w:rFonts w:ascii="Palatino Linotype" w:hAnsi="Palatino Linotype" w:cs="Arial"/>
        </w:rPr>
        <w:footnoteReference w:id="1"/>
      </w:r>
      <w:r w:rsidRPr="00B10C1A">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B10C1A">
        <w:rPr>
          <w:rStyle w:val="Refdenotaalpie"/>
          <w:rFonts w:ascii="Palatino Linotype" w:hAnsi="Palatino Linotype" w:cs="Arial"/>
        </w:rPr>
        <w:footnoteReference w:id="2"/>
      </w:r>
      <w:r w:rsidRPr="00B10C1A">
        <w:rPr>
          <w:rFonts w:ascii="Palatino Linotype" w:hAnsi="Palatino Linotype" w:cs="Arial"/>
          <w:sz w:val="24"/>
          <w:szCs w:val="24"/>
        </w:rPr>
        <w:t xml:space="preserve"> </w:t>
      </w:r>
    </w:p>
    <w:p w:rsidR="00EB0906" w:rsidRPr="00B10C1A" w:rsidRDefault="00EB0906" w:rsidP="00EB0906">
      <w:pPr>
        <w:pStyle w:val="Prrafodelista"/>
        <w:spacing w:after="0" w:line="360" w:lineRule="auto"/>
        <w:ind w:left="426"/>
        <w:jc w:val="both"/>
        <w:rPr>
          <w:rFonts w:ascii="Palatino Linotype" w:hAnsi="Palatino Linotype" w:cs="Arial"/>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lastRenderedPageBreak/>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B10C1A">
        <w:rPr>
          <w:rFonts w:ascii="Palatino Linotype" w:hAnsi="Palatino Linotype" w:cs="Arial"/>
          <w:b/>
          <w:sz w:val="24"/>
          <w:szCs w:val="24"/>
        </w:rPr>
        <w:t>garantía de los derechos humanos</w:t>
      </w:r>
      <w:r w:rsidRPr="00B10C1A">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EB3B6B" w:rsidRPr="00B10C1A" w:rsidRDefault="00EB3B6B" w:rsidP="00EB3B6B">
      <w:pPr>
        <w:pStyle w:val="Prrafodelista"/>
        <w:rPr>
          <w:rFonts w:ascii="Palatino Linotype" w:hAnsi="Palatino Linotype" w:cs="Arial"/>
          <w:sz w:val="24"/>
          <w:szCs w:val="24"/>
        </w:rPr>
      </w:pPr>
    </w:p>
    <w:p w:rsidR="0046491C"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En este sentido el Dr. Miguel Carbonell ha señalado que:</w:t>
      </w:r>
    </w:p>
    <w:p w:rsidR="00A97D8B" w:rsidRPr="00A97D8B" w:rsidRDefault="00A97D8B" w:rsidP="00A97D8B">
      <w:pPr>
        <w:pStyle w:val="Prrafodelista"/>
        <w:rPr>
          <w:rFonts w:ascii="Palatino Linotype" w:hAnsi="Palatino Linotype" w:cs="Arial"/>
          <w:sz w:val="24"/>
          <w:szCs w:val="24"/>
        </w:rPr>
      </w:pPr>
    </w:p>
    <w:p w:rsidR="0046491C" w:rsidRPr="00B10C1A" w:rsidRDefault="0046491C" w:rsidP="0046491C">
      <w:pPr>
        <w:pStyle w:val="Prrafodelista"/>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B10C1A">
        <w:rPr>
          <w:rFonts w:ascii="Palatino Linotype" w:hAnsi="Palatino Linotype" w:cs="Arial"/>
          <w:b/>
          <w:sz w:val="24"/>
          <w:szCs w:val="24"/>
        </w:rPr>
        <w:t>considerando que algún nivel de gobierno tenga obligaciones reforzadas hacia ciertos derechos.</w:t>
      </w:r>
      <w:r w:rsidRPr="00B10C1A">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Pr="00B10C1A">
        <w:rPr>
          <w:rFonts w:ascii="Palatino Linotype" w:hAnsi="Palatino Linotype" w:cs="Arial"/>
          <w:b/>
          <w:sz w:val="24"/>
          <w:szCs w:val="24"/>
        </w:rPr>
        <w:t>tomar todas las medidas que sean pertinentes para tutelar y hacer eficaz un derecho</w:t>
      </w:r>
      <w:r w:rsidRPr="00B10C1A">
        <w:rPr>
          <w:rFonts w:ascii="Palatino Linotype" w:hAnsi="Palatino Linotype" w:cs="Arial"/>
          <w:sz w:val="24"/>
          <w:szCs w:val="24"/>
        </w:rPr>
        <w:t>”.</w:t>
      </w:r>
      <w:r w:rsidRPr="00B10C1A">
        <w:rPr>
          <w:rStyle w:val="Refdenotaalpie"/>
          <w:rFonts w:ascii="Palatino Linotype" w:hAnsi="Palatino Linotype" w:cs="Arial"/>
        </w:rPr>
        <w:footnoteReference w:id="3"/>
      </w: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lastRenderedPageBreak/>
        <w:t xml:space="preserve"> Por lo que restringir el derecho de acceso a la información pública del particular</w:t>
      </w:r>
      <w:r w:rsidRPr="00B10C1A">
        <w:rPr>
          <w:rFonts w:ascii="Palatino Linotype" w:hAnsi="Palatino Linotype" w:cs="Arial"/>
          <w:b/>
          <w:sz w:val="24"/>
          <w:szCs w:val="24"/>
        </w:rPr>
        <w:t xml:space="preserve"> </w:t>
      </w:r>
      <w:r w:rsidRPr="00B10C1A">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46491C" w:rsidRPr="00B10C1A" w:rsidRDefault="0046491C" w:rsidP="0046491C">
      <w:pPr>
        <w:pStyle w:val="Prrafodelista"/>
        <w:spacing w:after="0" w:line="360" w:lineRule="auto"/>
        <w:jc w:val="both"/>
        <w:rPr>
          <w:rFonts w:ascii="Palatino Linotype" w:hAnsi="Palatino Linotype" w:cs="Arial"/>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 Enfrentar este silencio  u omisión de los particulares a inconformarse por algún punto o requerimiento de origen solicitado, cuando es</w:t>
      </w:r>
      <w:r w:rsidR="00145D32" w:rsidRPr="00B10C1A">
        <w:rPr>
          <w:rFonts w:ascii="Palatino Linotype" w:hAnsi="Palatino Linotype" w:cs="Arial"/>
          <w:sz w:val="24"/>
          <w:szCs w:val="24"/>
        </w:rPr>
        <w:t xml:space="preserve"> </w:t>
      </w:r>
      <w:r w:rsidRPr="00B10C1A">
        <w:rPr>
          <w:rFonts w:ascii="Palatino Linotype" w:hAnsi="Palatino Linotype" w:cs="Arial"/>
          <w:sz w:val="24"/>
          <w:szCs w:val="24"/>
        </w:rPr>
        <w:t xml:space="preserve">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Pr="00B10C1A" w:rsidRDefault="0046491C" w:rsidP="0046491C">
      <w:pPr>
        <w:pStyle w:val="Prrafodelista"/>
        <w:spacing w:line="360" w:lineRule="auto"/>
        <w:jc w:val="both"/>
        <w:rPr>
          <w:rFonts w:ascii="Palatino Linotype" w:hAnsi="Palatino Linotype" w:cs="Arial"/>
          <w:sz w:val="24"/>
          <w:szCs w:val="24"/>
        </w:rPr>
      </w:pPr>
    </w:p>
    <w:p w:rsidR="00007504"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lastRenderedPageBreak/>
        <w:t xml:space="preserve">Frente a esa realidad pasada, la reforma citada nos ubica completamente en nuevas condiciones bajo los criterios del Estado Constitucional de Derecho que nos debe conducir a valorar, junto con Sergio </w:t>
      </w:r>
      <w:proofErr w:type="spellStart"/>
      <w:r w:rsidRPr="00B10C1A">
        <w:rPr>
          <w:rFonts w:ascii="Palatino Linotype" w:hAnsi="Palatino Linotype" w:cs="Arial"/>
          <w:sz w:val="24"/>
          <w:szCs w:val="24"/>
        </w:rPr>
        <w:t>Cotta</w:t>
      </w:r>
      <w:proofErr w:type="spellEnd"/>
      <w:r w:rsidRPr="00B10C1A">
        <w:rPr>
          <w:rFonts w:ascii="Palatino Linotype" w:hAnsi="Palatino Linotype" w:cs="Arial"/>
          <w:sz w:val="24"/>
          <w:szCs w:val="24"/>
        </w:rPr>
        <w:t xml:space="preserve"> que “la obligatoriedad de la norma depende de la validez de su justificación, que es, por consiguiente el fundamento de aquella”,</w:t>
      </w:r>
      <w:r w:rsidRPr="00B10C1A">
        <w:rPr>
          <w:rStyle w:val="Refdenotaalpie"/>
          <w:rFonts w:ascii="Palatino Linotype" w:hAnsi="Palatino Linotype" w:cs="Arial"/>
        </w:rPr>
        <w:footnoteReference w:id="4"/>
      </w:r>
      <w:r w:rsidRPr="00B10C1A">
        <w:rPr>
          <w:rFonts w:ascii="Palatino Linotype" w:hAnsi="Palatino Linotype" w:cs="Arial"/>
          <w:sz w:val="24"/>
          <w:szCs w:val="24"/>
        </w:rPr>
        <w:t xml:space="preserve"> y no puede existir validez en la aplicación de un criterio que propicia una riesgosa afectación al derecho de acceso a la información.</w:t>
      </w:r>
    </w:p>
    <w:p w:rsidR="00AE1193" w:rsidRPr="00B10C1A" w:rsidRDefault="00AE1193" w:rsidP="00AE1193">
      <w:pPr>
        <w:pStyle w:val="Prrafodelista"/>
        <w:spacing w:after="0" w:line="360" w:lineRule="auto"/>
        <w:ind w:left="426"/>
        <w:jc w:val="both"/>
        <w:rPr>
          <w:rFonts w:ascii="Palatino Linotype" w:hAnsi="Palatino Linotype" w:cs="Arial"/>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 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B10C1A">
        <w:rPr>
          <w:rFonts w:ascii="Palatino Linotype" w:hAnsi="Palatino Linotype" w:cs="Arial"/>
          <w:b/>
          <w:sz w:val="24"/>
          <w:szCs w:val="24"/>
        </w:rPr>
        <w:t>el deber que tienen los órganos del Estado, dentro del margen de sus atribuciones, de prevenir violaciones a los derechos fundamentales,</w:t>
      </w:r>
      <w:r w:rsidRPr="00B10C1A">
        <w:rPr>
          <w:rFonts w:ascii="Palatino Linotype" w:hAnsi="Palatino Linotype" w:cs="Arial"/>
          <w:sz w:val="24"/>
          <w:szCs w:val="24"/>
        </w:rPr>
        <w:t xml:space="preserve"> ya sea que </w:t>
      </w:r>
      <w:r w:rsidRPr="00B10C1A">
        <w:rPr>
          <w:rFonts w:ascii="Palatino Linotype" w:hAnsi="Palatino Linotype" w:cs="Arial"/>
          <w:sz w:val="24"/>
          <w:szCs w:val="24"/>
        </w:rPr>
        <w:lastRenderedPageBreak/>
        <w:t xml:space="preserve">provengan de una autoridad o de algún particular y, por ello, </w:t>
      </w:r>
      <w:r w:rsidRPr="00B10C1A">
        <w:rPr>
          <w:rFonts w:ascii="Palatino Linotype" w:hAnsi="Palatino Linotype" w:cs="Arial"/>
          <w:b/>
          <w:sz w:val="24"/>
          <w:szCs w:val="24"/>
        </w:rPr>
        <w:t>debe contarse</w:t>
      </w:r>
      <w:r w:rsidRPr="00B10C1A">
        <w:rPr>
          <w:rFonts w:ascii="Palatino Linotype" w:hAnsi="Palatino Linotype" w:cs="Arial"/>
          <w:sz w:val="24"/>
          <w:szCs w:val="24"/>
        </w:rPr>
        <w:t xml:space="preserve"> tanto </w:t>
      </w:r>
      <w:r w:rsidRPr="00B10C1A">
        <w:rPr>
          <w:rFonts w:ascii="Palatino Linotype" w:hAnsi="Palatino Linotype" w:cs="Arial"/>
          <w:b/>
          <w:sz w:val="24"/>
          <w:szCs w:val="24"/>
        </w:rPr>
        <w:t>con mecanismos</w:t>
      </w:r>
      <w:r w:rsidRPr="00B10C1A">
        <w:rPr>
          <w:rFonts w:ascii="Palatino Linotype" w:hAnsi="Palatino Linotype" w:cs="Arial"/>
          <w:sz w:val="24"/>
          <w:szCs w:val="24"/>
        </w:rPr>
        <w:t xml:space="preserve"> de vigilancia como </w:t>
      </w:r>
      <w:r w:rsidRPr="00B10C1A">
        <w:rPr>
          <w:rFonts w:ascii="Palatino Linotype" w:hAnsi="Palatino Linotype" w:cs="Arial"/>
          <w:b/>
          <w:sz w:val="24"/>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B10C1A">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6491C" w:rsidRPr="00B10C1A" w:rsidRDefault="0046491C" w:rsidP="0046491C">
      <w:pPr>
        <w:pStyle w:val="Prrafodelista"/>
        <w:spacing w:after="0" w:line="360" w:lineRule="auto"/>
        <w:ind w:left="426"/>
        <w:jc w:val="both"/>
        <w:rPr>
          <w:rFonts w:ascii="Palatino Linotype" w:hAnsi="Palatino Linotype" w:cs="Arial"/>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 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00A97D8B">
        <w:rPr>
          <w:rFonts w:ascii="Palatino Linotype" w:hAnsi="Palatino Linotype" w:cs="Arial"/>
          <w:sz w:val="24"/>
          <w:szCs w:val="24"/>
        </w:rPr>
        <w:t>Sujetos Obligados</w:t>
      </w:r>
      <w:r w:rsidRPr="00B10C1A">
        <w:rPr>
          <w:rFonts w:ascii="Palatino Linotype" w:hAnsi="Palatino Linotype" w:cs="Arial"/>
          <w:sz w:val="24"/>
          <w:szCs w:val="24"/>
        </w:rPr>
        <w:t xml:space="preserve"> sea evidente la falta de alguno de ellos, en ese </w:t>
      </w:r>
      <w:r w:rsidRPr="00B10C1A">
        <w:rPr>
          <w:rFonts w:ascii="Palatino Linotype" w:hAnsi="Palatino Linotype" w:cs="Arial"/>
          <w:sz w:val="24"/>
          <w:szCs w:val="24"/>
        </w:rPr>
        <w:lastRenderedPageBreak/>
        <w:t>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0F0579" w:rsidRPr="00B10C1A" w:rsidRDefault="000F0579" w:rsidP="000F0579">
      <w:pPr>
        <w:spacing w:after="0" w:line="360" w:lineRule="auto"/>
        <w:jc w:val="both"/>
        <w:rPr>
          <w:rFonts w:ascii="Palatino Linotype" w:hAnsi="Palatino Linotype" w:cs="Arial"/>
          <w:sz w:val="24"/>
          <w:szCs w:val="24"/>
        </w:rPr>
      </w:pPr>
    </w:p>
    <w:p w:rsidR="00BE3B45"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r w:rsidR="00996597" w:rsidRPr="00B10C1A">
        <w:rPr>
          <w:rFonts w:ascii="Palatino Linotype" w:hAnsi="Palatino Linotype" w:cs="Arial"/>
          <w:sz w:val="24"/>
          <w:szCs w:val="24"/>
        </w:rPr>
        <w:t>procedencia</w:t>
      </w:r>
      <w:r w:rsidRPr="00B10C1A">
        <w:rPr>
          <w:rFonts w:ascii="Palatino Linotype" w:hAnsi="Palatino Linotype" w:cs="Arial"/>
          <w:sz w:val="24"/>
          <w:szCs w:val="24"/>
        </w:rPr>
        <w:t>, ya que en todo momento nos encontramos ante un derecho más alto que, puede considerarse en los siguientes términos:</w:t>
      </w:r>
    </w:p>
    <w:p w:rsidR="00BE3B45" w:rsidRPr="00B10C1A" w:rsidRDefault="00BE3B45" w:rsidP="00BE3B45">
      <w:pPr>
        <w:pStyle w:val="Prrafodelista"/>
        <w:spacing w:after="0" w:line="360" w:lineRule="auto"/>
        <w:ind w:left="360"/>
        <w:jc w:val="both"/>
        <w:rPr>
          <w:rFonts w:ascii="Palatino Linotype" w:hAnsi="Palatino Linotype" w:cs="Arial"/>
          <w:sz w:val="24"/>
          <w:szCs w:val="24"/>
        </w:rPr>
      </w:pPr>
    </w:p>
    <w:p w:rsidR="0046491C" w:rsidRPr="00B10C1A" w:rsidRDefault="0046491C" w:rsidP="00D33AF9">
      <w:pPr>
        <w:spacing w:after="0" w:line="240" w:lineRule="auto"/>
        <w:ind w:left="1134" w:right="618"/>
        <w:jc w:val="both"/>
        <w:rPr>
          <w:rFonts w:ascii="Palatino Linotype" w:hAnsi="Palatino Linotype" w:cs="Arial"/>
          <w:i/>
          <w:sz w:val="24"/>
          <w:szCs w:val="24"/>
        </w:rPr>
      </w:pPr>
      <w:r w:rsidRPr="00B10C1A">
        <w:rPr>
          <w:rFonts w:ascii="Palatino Linotype" w:hAnsi="Palatino Linotype" w:cs="Arial"/>
          <w:i/>
          <w:sz w:val="24"/>
          <w:szCs w:val="24"/>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B10C1A">
        <w:rPr>
          <w:rFonts w:ascii="Palatino Linotype" w:hAnsi="Palatino Linotype" w:cs="Arial"/>
          <w:i/>
          <w:sz w:val="24"/>
          <w:szCs w:val="24"/>
        </w:rPr>
        <w:t>ocasionalidad</w:t>
      </w:r>
      <w:proofErr w:type="spellEnd"/>
      <w:r w:rsidRPr="00B10C1A">
        <w:rPr>
          <w:rFonts w:ascii="Palatino Linotype" w:hAnsi="Palatino Linotype" w:cs="Arial"/>
          <w:i/>
          <w:sz w:val="24"/>
          <w:szCs w:val="24"/>
        </w:rPr>
        <w:t xml:space="preserve"> de las presiones sociales que se ejercen sobre el mismo”.</w:t>
      </w:r>
      <w:r w:rsidRPr="00B10C1A">
        <w:rPr>
          <w:rStyle w:val="Refdenotaalpie"/>
          <w:rFonts w:ascii="Palatino Linotype" w:hAnsi="Palatino Linotype" w:cs="Arial"/>
          <w:i/>
        </w:rPr>
        <w:footnoteReference w:id="5"/>
      </w:r>
    </w:p>
    <w:p w:rsidR="0046491C" w:rsidRPr="00B10C1A" w:rsidRDefault="0046491C" w:rsidP="0046491C">
      <w:pPr>
        <w:spacing w:after="0" w:line="360" w:lineRule="auto"/>
        <w:jc w:val="both"/>
        <w:rPr>
          <w:rFonts w:ascii="Palatino Linotype" w:hAnsi="Palatino Linotype" w:cs="Arial"/>
          <w:sz w:val="24"/>
          <w:szCs w:val="24"/>
        </w:rPr>
      </w:pPr>
    </w:p>
    <w:p w:rsidR="0046491C" w:rsidRPr="00B10C1A" w:rsidRDefault="0046491C" w:rsidP="00547195">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lastRenderedPageBreak/>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B10C1A" w:rsidRDefault="0046491C" w:rsidP="0046491C">
      <w:pPr>
        <w:pStyle w:val="Prrafodelista"/>
        <w:spacing w:after="0" w:line="360" w:lineRule="auto"/>
        <w:ind w:left="426"/>
        <w:jc w:val="both"/>
        <w:rPr>
          <w:rFonts w:ascii="Palatino Linotype" w:hAnsi="Palatino Linotype" w:cs="Arial"/>
          <w:sz w:val="24"/>
          <w:szCs w:val="24"/>
        </w:rPr>
      </w:pPr>
    </w:p>
    <w:p w:rsidR="0046491C" w:rsidRPr="00B10C1A" w:rsidRDefault="0046491C" w:rsidP="00547195">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w:t>
      </w:r>
      <w:r w:rsidRPr="00B10C1A">
        <w:rPr>
          <w:rFonts w:ascii="Palatino Linotype" w:hAnsi="Palatino Linotype" w:cs="Arial"/>
          <w:sz w:val="24"/>
          <w:szCs w:val="24"/>
        </w:rPr>
        <w:lastRenderedPageBreak/>
        <w:t>cuando no se pronuncien al respecto, cuando sea evidente que no han sido colmados, en ese sentido no estaríamos garantizando el derecho fundamental.</w:t>
      </w:r>
    </w:p>
    <w:p w:rsidR="00A97D8B" w:rsidRPr="003B3FC7" w:rsidRDefault="00A97D8B" w:rsidP="003B3FC7">
      <w:pPr>
        <w:pStyle w:val="Ttulo1"/>
        <w:numPr>
          <w:ilvl w:val="0"/>
          <w:numId w:val="12"/>
        </w:numPr>
        <w:rPr>
          <w:color w:val="0D0D0D" w:themeColor="text1" w:themeTint="F2"/>
          <w:szCs w:val="24"/>
        </w:rPr>
      </w:pPr>
      <w:bookmarkStart w:id="3" w:name="_Toc517097952"/>
      <w:bookmarkStart w:id="4" w:name="_Toc264968"/>
      <w:r w:rsidRPr="00E20DC1">
        <w:rPr>
          <w:color w:val="0D0D0D" w:themeColor="text1" w:themeTint="F2"/>
          <w:szCs w:val="24"/>
        </w:rPr>
        <w:t>La naturaleza del Título Profesional.</w:t>
      </w:r>
      <w:bookmarkEnd w:id="3"/>
      <w:bookmarkEnd w:id="4"/>
    </w:p>
    <w:p w:rsidR="00A97D8B" w:rsidRPr="00E20DC1" w:rsidRDefault="00A97D8B" w:rsidP="00A97D8B">
      <w:pPr>
        <w:jc w:val="both"/>
        <w:rPr>
          <w:rFonts w:ascii="Palatino Linotype" w:hAnsi="Palatino Linotype"/>
          <w:b/>
          <w:sz w:val="24"/>
          <w:szCs w:val="24"/>
        </w:rPr>
      </w:pPr>
    </w:p>
    <w:p w:rsidR="00A97D8B" w:rsidRPr="00E20DC1" w:rsidRDefault="00A97D8B" w:rsidP="00A97D8B">
      <w:pPr>
        <w:numPr>
          <w:ilvl w:val="0"/>
          <w:numId w:val="4"/>
        </w:numPr>
        <w:jc w:val="both"/>
        <w:rPr>
          <w:rFonts w:ascii="Palatino Linotype" w:hAnsi="Palatino Linotype"/>
          <w:b/>
          <w:sz w:val="24"/>
          <w:szCs w:val="24"/>
        </w:rPr>
      </w:pPr>
      <w:r w:rsidRPr="00E20DC1">
        <w:rPr>
          <w:rFonts w:ascii="Palatino Linotype" w:hAnsi="Palatino Linotype"/>
          <w:b/>
          <w:sz w:val="24"/>
          <w:szCs w:val="24"/>
        </w:rPr>
        <w:t>El Título Profesional:</w:t>
      </w:r>
    </w:p>
    <w:p w:rsidR="00A97D8B" w:rsidRDefault="00A97D8B" w:rsidP="00A97D8B">
      <w:pPr>
        <w:numPr>
          <w:ilvl w:val="0"/>
          <w:numId w:val="1"/>
        </w:numPr>
        <w:spacing w:line="360" w:lineRule="auto"/>
        <w:jc w:val="both"/>
        <w:rPr>
          <w:rFonts w:ascii="Palatino Linotype" w:hAnsi="Palatino Linotype"/>
          <w:sz w:val="24"/>
          <w:szCs w:val="24"/>
        </w:rPr>
      </w:pPr>
      <w:r w:rsidRPr="00E20DC1">
        <w:rPr>
          <w:rFonts w:ascii="Palatino Linotype" w:hAnsi="Palatino Linotype"/>
          <w:sz w:val="24"/>
          <w:szCs w:val="24"/>
        </w:rPr>
        <w:t>El Título Profesional es el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la legislación aplicable, con lo que se atiende la disposición contenida en el segundo párrafo del artículo quinto de la Constitución Política de los Estados Unidos Mexicanos que traslada a la ley la determinación de las profesiones que necesitan título para su ejercicio, la respectiva ley reglamentaria del dispositivo constitucional, en su artículo primero señala la definición que se reproduce en el presente párrafo, mientras que el artículo  tercero del mismo ordenamiento condiciona la obtención del título profesional o grado académico equivalente para la obtención de la cédula de ejercicio.</w:t>
      </w:r>
    </w:p>
    <w:p w:rsidR="00A97D8B" w:rsidRDefault="00A97D8B" w:rsidP="00A97D8B">
      <w:pPr>
        <w:numPr>
          <w:ilvl w:val="0"/>
          <w:numId w:val="1"/>
        </w:numPr>
        <w:spacing w:line="360" w:lineRule="auto"/>
        <w:jc w:val="both"/>
        <w:rPr>
          <w:rFonts w:ascii="Palatino Linotype" w:hAnsi="Palatino Linotype"/>
          <w:sz w:val="24"/>
          <w:szCs w:val="24"/>
        </w:rPr>
      </w:pPr>
      <w:r w:rsidRPr="00E20DC1">
        <w:rPr>
          <w:rFonts w:ascii="Palatino Linotype" w:hAnsi="Palatino Linotype"/>
          <w:sz w:val="24"/>
          <w:szCs w:val="24"/>
        </w:rPr>
        <w:t>En este sentido, el artículo 11 de la ley señalada establece los requisitos que debe reunir el título profesional, entre los cuales se incluye el retrato del interesado como elemento indispensable de identidad de la persona a quien se le expide.</w:t>
      </w:r>
    </w:p>
    <w:p w:rsidR="00301086" w:rsidRDefault="00301086" w:rsidP="00301086">
      <w:pPr>
        <w:spacing w:line="360" w:lineRule="auto"/>
        <w:ind w:left="360"/>
        <w:jc w:val="both"/>
        <w:rPr>
          <w:rFonts w:ascii="Palatino Linotype" w:hAnsi="Palatino Linotype"/>
          <w:sz w:val="24"/>
          <w:szCs w:val="24"/>
        </w:rPr>
      </w:pPr>
    </w:p>
    <w:p w:rsidR="00A97D8B" w:rsidRPr="003B3FC7" w:rsidRDefault="00A97D8B" w:rsidP="003B3FC7">
      <w:pPr>
        <w:pStyle w:val="Prrafodelista"/>
        <w:numPr>
          <w:ilvl w:val="0"/>
          <w:numId w:val="4"/>
        </w:numPr>
        <w:jc w:val="both"/>
        <w:rPr>
          <w:rFonts w:ascii="Palatino Linotype" w:hAnsi="Palatino Linotype"/>
          <w:b/>
          <w:sz w:val="24"/>
          <w:szCs w:val="24"/>
        </w:rPr>
      </w:pPr>
      <w:r w:rsidRPr="003B3FC7">
        <w:rPr>
          <w:rFonts w:ascii="Palatino Linotype" w:hAnsi="Palatino Linotype"/>
          <w:b/>
          <w:sz w:val="24"/>
          <w:szCs w:val="24"/>
        </w:rPr>
        <w:lastRenderedPageBreak/>
        <w:t>Acceso a la información versus protección de datos personales.</w:t>
      </w:r>
    </w:p>
    <w:p w:rsidR="00301086" w:rsidRPr="00E20DC1" w:rsidRDefault="00301086" w:rsidP="00301086">
      <w:pPr>
        <w:ind w:left="709"/>
        <w:jc w:val="both"/>
        <w:rPr>
          <w:rFonts w:ascii="Palatino Linotype" w:hAnsi="Palatino Linotype"/>
          <w:b/>
          <w:sz w:val="24"/>
          <w:szCs w:val="24"/>
        </w:rPr>
      </w:pPr>
    </w:p>
    <w:p w:rsidR="00A97D8B" w:rsidRDefault="00A97D8B" w:rsidP="00A97D8B">
      <w:pPr>
        <w:numPr>
          <w:ilvl w:val="0"/>
          <w:numId w:val="1"/>
        </w:numPr>
        <w:spacing w:line="360" w:lineRule="auto"/>
        <w:jc w:val="both"/>
        <w:rPr>
          <w:rFonts w:ascii="Palatino Linotype" w:hAnsi="Palatino Linotype"/>
          <w:sz w:val="24"/>
          <w:szCs w:val="24"/>
        </w:rPr>
      </w:pPr>
      <w:r w:rsidRPr="00E20DC1">
        <w:rPr>
          <w:rFonts w:ascii="Palatino Linotype" w:hAnsi="Palatino Linotype"/>
          <w:sz w:val="24"/>
          <w:szCs w:val="24"/>
        </w:rPr>
        <w:t xml:space="preserve">Para que quienes integran a la sociedad puedan participar en el debate público, manifestar sus ideas y ejercer un adecuado control de las acciones de gobierno y fomentar un proceso permanente de rendición de cuentas, se requiere del ejercicio pleno del derecho de acceso a la información pública, así lo considera el Pacto de Derechos Civiles y Políticos en su artículo 19.2, la Convención Americana sobre Derechos Humanos en su artículo 13.1, la Constitución Política de los Estados Unidos Mexicanos en su artículo sexto, la Constitución Política del Estado Libre y Soberano de México en su artículo quinto y demás disposiciones aplicables. </w:t>
      </w:r>
    </w:p>
    <w:p w:rsidR="00A97D8B" w:rsidRPr="00E20DC1" w:rsidRDefault="00A97D8B" w:rsidP="00A97D8B">
      <w:pPr>
        <w:numPr>
          <w:ilvl w:val="0"/>
          <w:numId w:val="1"/>
        </w:numPr>
        <w:spacing w:line="360" w:lineRule="auto"/>
        <w:jc w:val="both"/>
        <w:rPr>
          <w:rFonts w:ascii="Palatino Linotype" w:hAnsi="Palatino Linotype"/>
          <w:sz w:val="24"/>
          <w:szCs w:val="24"/>
        </w:rPr>
      </w:pPr>
      <w:r w:rsidRPr="00E20DC1">
        <w:rPr>
          <w:rFonts w:ascii="Palatino Linotype" w:hAnsi="Palatino Linotype"/>
          <w:sz w:val="24"/>
          <w:szCs w:val="24"/>
        </w:rPr>
        <w:t>El acceder a la copia del título profesional, cédula profesional o cualquier otro documento que, acredite su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Como se ha señalado antes, la concurrencia de todos los elementos que integran dichos documentos permiten apreciar en todo su valor el contenido de los documentos públicos requeridos.</w:t>
      </w:r>
    </w:p>
    <w:p w:rsidR="00301086" w:rsidRPr="00E20DC1" w:rsidRDefault="00301086" w:rsidP="00A97D8B">
      <w:pPr>
        <w:pStyle w:val="Prrafodelista"/>
        <w:rPr>
          <w:rFonts w:ascii="Palatino Linotype" w:hAnsi="Palatino Linotype"/>
          <w:sz w:val="24"/>
          <w:szCs w:val="24"/>
        </w:rPr>
      </w:pPr>
    </w:p>
    <w:p w:rsidR="00A97D8B" w:rsidRPr="00E20DC1" w:rsidRDefault="00A97D8B" w:rsidP="00A97D8B">
      <w:pPr>
        <w:numPr>
          <w:ilvl w:val="0"/>
          <w:numId w:val="1"/>
        </w:numPr>
        <w:spacing w:line="360" w:lineRule="auto"/>
        <w:jc w:val="both"/>
        <w:rPr>
          <w:rFonts w:ascii="Palatino Linotype" w:hAnsi="Palatino Linotype"/>
          <w:sz w:val="24"/>
          <w:szCs w:val="24"/>
        </w:rPr>
      </w:pPr>
      <w:r w:rsidRPr="00E20DC1">
        <w:rPr>
          <w:rFonts w:ascii="Palatino Linotype" w:hAnsi="Palatino Linotype"/>
          <w:sz w:val="24"/>
          <w:szCs w:val="24"/>
        </w:rPr>
        <w:t>Frente a esa situación, el resto de los integrantes del Pleno del Instituto,  han coincidido en la necesidad de testar la fotografía como una medida de protección de la misma en su condición de dato personal, desde su punto de vista no es necesario que el ciudadano acceda a la fotografía para determinar la idoneidad del funcionario. Desde mi perspectiva la reflexión debe situarse en otro terreno ya que, en efecto, no es la fotografía la que permite determinar la respectiva idoneidad profesional, pero si la concurrencia de todos los elementos que integran la documental, lo que permite constatar la acreditación profesional, entre los cuales, la fotografía resulta esencial para determinar la identidad de quien obtiene un Título Profesional o bien, una cédula profesional.</w:t>
      </w:r>
    </w:p>
    <w:p w:rsidR="00A97D8B" w:rsidRPr="00E20DC1" w:rsidRDefault="00A97D8B" w:rsidP="00A97D8B">
      <w:pPr>
        <w:jc w:val="both"/>
        <w:rPr>
          <w:rFonts w:ascii="Palatino Linotype" w:hAnsi="Palatino Linotype"/>
          <w:sz w:val="24"/>
          <w:szCs w:val="24"/>
        </w:rPr>
      </w:pPr>
    </w:p>
    <w:p w:rsidR="00A97D8B" w:rsidRPr="00E20DC1" w:rsidRDefault="00A97D8B" w:rsidP="00A97D8B">
      <w:pPr>
        <w:numPr>
          <w:ilvl w:val="0"/>
          <w:numId w:val="1"/>
        </w:numPr>
        <w:spacing w:line="360" w:lineRule="auto"/>
        <w:jc w:val="both"/>
        <w:rPr>
          <w:rFonts w:ascii="Palatino Linotype" w:hAnsi="Palatino Linotype"/>
          <w:sz w:val="24"/>
          <w:szCs w:val="24"/>
        </w:rPr>
      </w:pPr>
      <w:r w:rsidRPr="00E20DC1">
        <w:rPr>
          <w:rFonts w:ascii="Palatino Linotype" w:hAnsi="Palatino Linotype"/>
          <w:sz w:val="24"/>
          <w:szCs w:val="24"/>
        </w:rPr>
        <w:t xml:space="preserve">Suponiendo sin conceder, que se trate de una probable colisión de derechos entre el de acceso a la información, del particular y el de protección de datos personales del servidor público, es necesario destacar que ambos cuentan con el mismo valor, son concebidos en los mismos ordenamientos y, en consecuencia, uno no puede prevalecer frente al otro en todos los casos y es obligación del operador constitucional determinar, en cada caso, el grado de intensidad que debe respetarse para que ambos principios prevalezcan y no exista una decisión predeterminada que resuelva, en todos los casos, los asuntos; ya que ello implicaría la determinación de jerarquías entre los derechos que no pueden existir ya que eso nos situaría en un estado de franca inconstitucionalidad según </w:t>
      </w:r>
      <w:r w:rsidRPr="00E20DC1">
        <w:rPr>
          <w:rFonts w:ascii="Palatino Linotype" w:hAnsi="Palatino Linotype"/>
          <w:sz w:val="24"/>
          <w:szCs w:val="24"/>
        </w:rPr>
        <w:lastRenderedPageBreak/>
        <w:t>lo establecido en el artículo primero de la Constitución Federal y contrario a las disposiciones internacionales en materia de derechos humanos.</w:t>
      </w:r>
    </w:p>
    <w:p w:rsidR="00A97D8B" w:rsidRPr="00E20DC1" w:rsidRDefault="00A97D8B" w:rsidP="00A97D8B">
      <w:pPr>
        <w:pStyle w:val="Prrafodelista"/>
        <w:rPr>
          <w:rFonts w:ascii="Palatino Linotype" w:hAnsi="Palatino Linotype"/>
          <w:sz w:val="24"/>
          <w:szCs w:val="24"/>
        </w:rPr>
      </w:pPr>
    </w:p>
    <w:p w:rsidR="00A97D8B" w:rsidRPr="00301086" w:rsidRDefault="00A97D8B" w:rsidP="00A97D8B">
      <w:pPr>
        <w:numPr>
          <w:ilvl w:val="0"/>
          <w:numId w:val="1"/>
        </w:numPr>
        <w:spacing w:line="360" w:lineRule="auto"/>
        <w:jc w:val="both"/>
        <w:rPr>
          <w:rFonts w:ascii="Palatino Linotype" w:hAnsi="Palatino Linotype"/>
          <w:sz w:val="24"/>
          <w:szCs w:val="24"/>
        </w:rPr>
      </w:pPr>
      <w:r w:rsidRPr="00E20DC1">
        <w:rPr>
          <w:rFonts w:ascii="Palatino Linotype" w:hAnsi="Palatino Linotype"/>
          <w:sz w:val="24"/>
          <w:szCs w:val="24"/>
        </w:rPr>
        <w:t xml:space="preserve">En estos casos, el intérprete externo y los </w:t>
      </w:r>
      <w:proofErr w:type="spellStart"/>
      <w:r w:rsidRPr="00E20DC1">
        <w:rPr>
          <w:rFonts w:ascii="Palatino Linotype" w:hAnsi="Palatino Linotype"/>
          <w:sz w:val="24"/>
          <w:szCs w:val="24"/>
        </w:rPr>
        <w:t>ius</w:t>
      </w:r>
      <w:proofErr w:type="spellEnd"/>
      <w:r w:rsidRPr="00E20DC1">
        <w:rPr>
          <w:rFonts w:ascii="Palatino Linotype" w:hAnsi="Palatino Linotype"/>
          <w:sz w:val="24"/>
          <w:szCs w:val="24"/>
        </w:rPr>
        <w:t xml:space="preserve"> publicistas recomiendan realizar un juicio de ponderación que se rige por la exigencia de observar tres juicios: el juicio de idoneidad, el juicio de necesidad y el juicio de estricta proporcionalidad. La medida propuesta debe cumplir con los tres y la ausencia de uno sólo de ellos impediría la existencia del derecho, el cumplimiento de los tres permite identificar la medida indispensable que permita que los derechos en cuestión prevalezcan.</w:t>
      </w:r>
    </w:p>
    <w:p w:rsidR="00A97D8B" w:rsidRPr="00E20DC1" w:rsidRDefault="00A97D8B" w:rsidP="00A97D8B">
      <w:pPr>
        <w:pStyle w:val="Prrafodelista"/>
        <w:ind w:left="927"/>
        <w:jc w:val="both"/>
        <w:rPr>
          <w:rFonts w:ascii="Palatino Linotype" w:hAnsi="Palatino Linotype"/>
          <w:b/>
          <w:sz w:val="24"/>
          <w:szCs w:val="24"/>
        </w:rPr>
      </w:pPr>
      <w:r w:rsidRPr="00E20DC1">
        <w:rPr>
          <w:rFonts w:ascii="Palatino Linotype" w:hAnsi="Palatino Linotype"/>
          <w:b/>
          <w:sz w:val="24"/>
          <w:szCs w:val="24"/>
        </w:rPr>
        <w:t>Juicio de idoneidad.</w:t>
      </w:r>
    </w:p>
    <w:p w:rsidR="00A97D8B" w:rsidRPr="00E20DC1" w:rsidRDefault="00A97D8B" w:rsidP="00A97D8B">
      <w:pPr>
        <w:pStyle w:val="Prrafodelista"/>
        <w:ind w:left="927"/>
        <w:jc w:val="both"/>
        <w:rPr>
          <w:rFonts w:ascii="Palatino Linotype" w:hAnsi="Palatino Linotype"/>
          <w:b/>
          <w:sz w:val="24"/>
          <w:szCs w:val="24"/>
        </w:rPr>
      </w:pPr>
    </w:p>
    <w:p w:rsidR="00A97D8B" w:rsidRDefault="00A97D8B" w:rsidP="00A97D8B">
      <w:pPr>
        <w:pStyle w:val="Prrafodelista"/>
        <w:numPr>
          <w:ilvl w:val="0"/>
          <w:numId w:val="1"/>
        </w:numPr>
        <w:spacing w:line="360" w:lineRule="auto"/>
        <w:jc w:val="both"/>
        <w:rPr>
          <w:rFonts w:ascii="Palatino Linotype" w:hAnsi="Palatino Linotype"/>
          <w:sz w:val="24"/>
          <w:szCs w:val="24"/>
        </w:rPr>
      </w:pPr>
      <w:r w:rsidRPr="00E20DC1">
        <w:rPr>
          <w:rFonts w:ascii="Palatino Linotype" w:hAnsi="Palatino Linotype"/>
          <w:sz w:val="24"/>
          <w:szCs w:val="24"/>
        </w:rPr>
        <w:t xml:space="preserve">El derecho de acceso a la información se plantea a través de la solicitud del particular para obtener el documento que acredite el título de licenciado, del Servidor Público identificado como el </w:t>
      </w:r>
      <w:r w:rsidRPr="00E20DC1">
        <w:rPr>
          <w:rFonts w:ascii="Palatino Linotype" w:eastAsia="Times New Roman" w:hAnsi="Palatino Linotype" w:cs="Arial"/>
          <w:sz w:val="24"/>
          <w:szCs w:val="24"/>
        </w:rPr>
        <w:t xml:space="preserve">Titular de la </w:t>
      </w:r>
      <w:r w:rsidRPr="00E20DC1">
        <w:rPr>
          <w:rFonts w:ascii="Palatino Linotype" w:hAnsi="Palatino Linotype" w:cs="Arial"/>
          <w:color w:val="000000" w:themeColor="text1"/>
          <w:sz w:val="24"/>
          <w:szCs w:val="24"/>
        </w:rPr>
        <w:t>Coordinación de Oficialías Mediadoras, Conciliadoras y Calificadoras</w:t>
      </w:r>
      <w:r w:rsidRPr="00E20DC1">
        <w:rPr>
          <w:rFonts w:ascii="Palatino Linotype" w:hAnsi="Palatino Linotype"/>
          <w:sz w:val="24"/>
          <w:szCs w:val="24"/>
        </w:rPr>
        <w:t xml:space="preserve">. Dicho documento se integran por una serie de elementos, cuya concurrencia simultánea permite acreditar tanto la ostentación del grado como la antigüedad del mismo y la identidad del titular de la patente, la ausencia de cualquiera de los elementos dificulta que el documento cumpla con el propósito para el cual fue expedido. Por lo tanto, acceder al documento íntegro es la medida idónea para que el particular satisfaga su interés de verificar que las personas que desempeñan tales cargos cumplen </w:t>
      </w:r>
      <w:r w:rsidRPr="00E20DC1">
        <w:rPr>
          <w:rFonts w:ascii="Palatino Linotype" w:hAnsi="Palatino Linotype"/>
          <w:sz w:val="24"/>
          <w:szCs w:val="24"/>
        </w:rPr>
        <w:lastRenderedPageBreak/>
        <w:t>con los requisitos señalados en la ley, lo cual permite asegurar el ejercicio del control popular sobre los actos de gobierno, fortalece la cultura de la rendición de cuentas al acreditar que los funcionarios públicos cumplen con el perfil señalado en la ley para desempeñarlo y fortalecen el debate informado de la sociedad democrática. Restar cualquier elemento a la documental, reduce su valor y disminuye sensiblemente la información que aporta al debate público.</w:t>
      </w:r>
    </w:p>
    <w:p w:rsidR="00301086" w:rsidRPr="00E20DC1" w:rsidRDefault="00301086" w:rsidP="00301086">
      <w:pPr>
        <w:pStyle w:val="Prrafodelista"/>
        <w:spacing w:line="360" w:lineRule="auto"/>
        <w:ind w:left="360"/>
        <w:jc w:val="both"/>
        <w:rPr>
          <w:rFonts w:ascii="Palatino Linotype" w:hAnsi="Palatino Linotype"/>
          <w:sz w:val="24"/>
          <w:szCs w:val="24"/>
        </w:rPr>
      </w:pPr>
    </w:p>
    <w:p w:rsidR="00A97D8B" w:rsidRPr="00E20DC1" w:rsidRDefault="00A97D8B" w:rsidP="00A97D8B">
      <w:pPr>
        <w:pStyle w:val="Prrafodelista"/>
        <w:ind w:left="927"/>
        <w:jc w:val="both"/>
        <w:rPr>
          <w:rFonts w:ascii="Palatino Linotype" w:hAnsi="Palatino Linotype"/>
          <w:b/>
          <w:sz w:val="24"/>
          <w:szCs w:val="24"/>
        </w:rPr>
      </w:pPr>
      <w:r w:rsidRPr="00E20DC1">
        <w:rPr>
          <w:rFonts w:ascii="Palatino Linotype" w:hAnsi="Palatino Linotype"/>
          <w:b/>
          <w:sz w:val="24"/>
          <w:szCs w:val="24"/>
        </w:rPr>
        <w:t>Juicio de Necesidad.</w:t>
      </w:r>
    </w:p>
    <w:p w:rsidR="00A97D8B" w:rsidRPr="00E20DC1" w:rsidRDefault="00A97D8B" w:rsidP="00A97D8B">
      <w:pPr>
        <w:pStyle w:val="Prrafodelista"/>
        <w:ind w:left="927"/>
        <w:jc w:val="both"/>
        <w:rPr>
          <w:rFonts w:ascii="Palatino Linotype" w:hAnsi="Palatino Linotype"/>
          <w:b/>
          <w:sz w:val="24"/>
          <w:szCs w:val="24"/>
        </w:rPr>
      </w:pPr>
    </w:p>
    <w:p w:rsidR="00A97D8B" w:rsidRPr="00E20DC1" w:rsidRDefault="00A97D8B" w:rsidP="00A97D8B">
      <w:pPr>
        <w:pStyle w:val="Prrafodelista"/>
        <w:numPr>
          <w:ilvl w:val="0"/>
          <w:numId w:val="1"/>
        </w:numPr>
        <w:spacing w:line="360" w:lineRule="auto"/>
        <w:jc w:val="both"/>
        <w:rPr>
          <w:rFonts w:ascii="Palatino Linotype" w:hAnsi="Palatino Linotype"/>
          <w:sz w:val="24"/>
          <w:szCs w:val="24"/>
        </w:rPr>
      </w:pPr>
      <w:r w:rsidRPr="00E20DC1">
        <w:rPr>
          <w:rFonts w:ascii="Palatino Linotype" w:hAnsi="Palatino Linotype"/>
          <w:sz w:val="24"/>
          <w:szCs w:val="24"/>
        </w:rPr>
        <w:t xml:space="preserve">Para que el particular vea satisfecha su pretensión y su derecho sea respetado, es </w:t>
      </w:r>
      <w:r w:rsidRPr="00E20DC1">
        <w:rPr>
          <w:rFonts w:ascii="Palatino Linotype" w:hAnsi="Palatino Linotype"/>
          <w:b/>
          <w:sz w:val="24"/>
          <w:szCs w:val="24"/>
        </w:rPr>
        <w:t>necesario</w:t>
      </w:r>
      <w:r w:rsidRPr="00E20DC1">
        <w:rPr>
          <w:rFonts w:ascii="Palatino Linotype" w:hAnsi="Palatino Linotype"/>
          <w:sz w:val="24"/>
          <w:szCs w:val="24"/>
        </w:rPr>
        <w:t xml:space="preserve"> que acceda al documento que acredita el grado académico y a todos los elementos que lo componen, el nombre asentado en el documento puede ser contrastado con cualquier otro documento en posesión del particular para verificar que se trate de la misma persona; lo mismo ocurre con el caso del año de expedición para efectos de acreditar la antigüedad de su expedición; la fotografía permite apreciar que los rasgos físicos corresponden a la persona que ocupa la función pública, además de que es un elemento adicional para apreciar la posible antigüedad de la expedición, toda vez que es natural y razonable que los cambios en los rasgos físicos correspondan con el paso del tiempo entre la expedición del Título Profesional o la cédula profesional y el momento actual; </w:t>
      </w:r>
      <w:r w:rsidRPr="00E20DC1">
        <w:rPr>
          <w:rFonts w:ascii="Palatino Linotype" w:hAnsi="Palatino Linotype"/>
          <w:sz w:val="24"/>
          <w:szCs w:val="24"/>
          <w:highlight w:val="yellow"/>
        </w:rPr>
        <w:t xml:space="preserve"> </w:t>
      </w:r>
      <w:r w:rsidRPr="00E20DC1">
        <w:rPr>
          <w:rFonts w:ascii="Palatino Linotype" w:hAnsi="Palatino Linotype"/>
          <w:sz w:val="24"/>
          <w:szCs w:val="24"/>
        </w:rPr>
        <w:t xml:space="preserve">por lo tanto el impedir el acceso a dicho elemento resta valor y utilidad para los propósitos legítimos del particular por lo que resulta </w:t>
      </w:r>
      <w:r w:rsidRPr="00E20DC1">
        <w:rPr>
          <w:rFonts w:ascii="Palatino Linotype" w:hAnsi="Palatino Linotype"/>
          <w:b/>
          <w:sz w:val="24"/>
          <w:szCs w:val="24"/>
        </w:rPr>
        <w:t>necesario</w:t>
      </w:r>
      <w:r w:rsidRPr="00E20DC1">
        <w:rPr>
          <w:rFonts w:ascii="Palatino Linotype" w:hAnsi="Palatino Linotype"/>
          <w:sz w:val="24"/>
          <w:szCs w:val="24"/>
        </w:rPr>
        <w:t xml:space="preserve"> que se conserve en el documento que será entregado.</w:t>
      </w:r>
    </w:p>
    <w:p w:rsidR="00A97D8B" w:rsidRPr="00E20DC1" w:rsidRDefault="00A97D8B" w:rsidP="00A97D8B">
      <w:pPr>
        <w:ind w:left="567"/>
        <w:jc w:val="both"/>
        <w:rPr>
          <w:rFonts w:ascii="Palatino Linotype" w:hAnsi="Palatino Linotype"/>
          <w:b/>
          <w:sz w:val="24"/>
          <w:szCs w:val="24"/>
        </w:rPr>
      </w:pPr>
      <w:r w:rsidRPr="00E20DC1">
        <w:rPr>
          <w:rFonts w:ascii="Palatino Linotype" w:hAnsi="Palatino Linotype"/>
          <w:b/>
          <w:sz w:val="24"/>
          <w:szCs w:val="24"/>
        </w:rPr>
        <w:lastRenderedPageBreak/>
        <w:t>Juicio de estricta proporcionalidad.</w:t>
      </w:r>
    </w:p>
    <w:p w:rsidR="00A97D8B" w:rsidRPr="00E20DC1" w:rsidRDefault="00A97D8B" w:rsidP="00A97D8B">
      <w:pPr>
        <w:pStyle w:val="Prrafodelista"/>
        <w:ind w:left="927"/>
        <w:jc w:val="both"/>
        <w:rPr>
          <w:rFonts w:ascii="Palatino Linotype" w:hAnsi="Palatino Linotype"/>
          <w:b/>
          <w:sz w:val="24"/>
          <w:szCs w:val="24"/>
        </w:rPr>
      </w:pPr>
    </w:p>
    <w:p w:rsidR="00A97D8B" w:rsidRPr="00E20DC1" w:rsidRDefault="00A97D8B" w:rsidP="00A97D8B">
      <w:pPr>
        <w:pStyle w:val="Prrafodelista"/>
        <w:numPr>
          <w:ilvl w:val="0"/>
          <w:numId w:val="1"/>
        </w:numPr>
        <w:spacing w:line="360" w:lineRule="auto"/>
        <w:jc w:val="both"/>
        <w:rPr>
          <w:rFonts w:ascii="Palatino Linotype" w:hAnsi="Palatino Linotype"/>
          <w:sz w:val="24"/>
          <w:szCs w:val="24"/>
        </w:rPr>
      </w:pPr>
      <w:r w:rsidRPr="00E20DC1">
        <w:rPr>
          <w:rFonts w:ascii="Palatino Linotype" w:hAnsi="Palatino Linotype"/>
          <w:sz w:val="24"/>
          <w:szCs w:val="24"/>
        </w:rPr>
        <w:t>La medida propuesta debe ser estrictamente proporcional y constituir la mínima afectación posible al otro derecho involucrado, de tal forma que el de protección de datos personales retroceda en la estricta e indispensable proporción para que el de acceso a la información prevalezca, sin que, desde luego, desaparezca el primero. En este caso es evidente que para que el particular pueda acceder al título profesional o a la cédula profesional con la finalidad de generarse los elementos necesarios que le permitan manifestar, de manera libre e informada, su expresión o sus ideas, y en este caso en particular para realizar el control popular de los actos de gobierno, es estrictamente necesario que acceda a los documentos que lo acrediten, los cuales se integra por una serie de elementos cuya concurrencia simultánea generan una certeza indudable. Por lo tanto, permitirle  el acceso a las documentales íntegras es la medida estrictamente proporcional indispensable que satisface completamente estos requerimientos. Es la mínima necesaria ya que, por ejemplo, no traslada el requerimiento a otros datos adicionales que pudieran contenerse en, por ejemplo, certificados de estudios, entre los cuales podríamos señalar las calificaciones correspondientes a determinadas materias o algún otro elemento adicional.</w:t>
      </w:r>
    </w:p>
    <w:p w:rsidR="00A97D8B" w:rsidRPr="00E20DC1" w:rsidRDefault="00A97D8B" w:rsidP="00A97D8B">
      <w:pPr>
        <w:pStyle w:val="Prrafodelista"/>
        <w:spacing w:line="360" w:lineRule="auto"/>
        <w:ind w:left="360"/>
        <w:jc w:val="both"/>
        <w:rPr>
          <w:rFonts w:ascii="Palatino Linotype" w:hAnsi="Palatino Linotype"/>
          <w:sz w:val="24"/>
          <w:szCs w:val="24"/>
        </w:rPr>
      </w:pPr>
    </w:p>
    <w:p w:rsidR="00A97D8B" w:rsidRPr="00E20DC1" w:rsidRDefault="00A97D8B" w:rsidP="00A97D8B">
      <w:pPr>
        <w:pStyle w:val="Prrafodelista"/>
        <w:numPr>
          <w:ilvl w:val="0"/>
          <w:numId w:val="1"/>
        </w:numPr>
        <w:spacing w:line="360" w:lineRule="auto"/>
        <w:jc w:val="both"/>
        <w:rPr>
          <w:rFonts w:ascii="Palatino Linotype" w:hAnsi="Palatino Linotype"/>
          <w:sz w:val="24"/>
          <w:szCs w:val="24"/>
        </w:rPr>
      </w:pPr>
      <w:r w:rsidRPr="00E20DC1">
        <w:rPr>
          <w:rFonts w:ascii="Palatino Linotype" w:hAnsi="Palatino Linotype"/>
          <w:sz w:val="24"/>
          <w:szCs w:val="24"/>
        </w:rPr>
        <w:t xml:space="preserve">En sentido contrario, testar la fotografía impide que el particular cuente con los elementos necesarios e indispensables para apreciar que las personas que ocupan </w:t>
      </w:r>
      <w:r w:rsidRPr="00E20DC1">
        <w:rPr>
          <w:rFonts w:ascii="Palatino Linotype" w:hAnsi="Palatino Linotype"/>
          <w:sz w:val="24"/>
          <w:szCs w:val="24"/>
        </w:rPr>
        <w:lastRenderedPageBreak/>
        <w:t xml:space="preserve">dichos cargos corresponda con las señaladas como titulares de los documentos respectivos. </w:t>
      </w:r>
    </w:p>
    <w:p w:rsidR="00A97D8B" w:rsidRPr="00E20DC1" w:rsidRDefault="00A97D8B" w:rsidP="00A97D8B">
      <w:pPr>
        <w:pStyle w:val="Prrafodelista"/>
        <w:rPr>
          <w:rFonts w:ascii="Palatino Linotype" w:hAnsi="Palatino Linotype"/>
          <w:sz w:val="24"/>
          <w:szCs w:val="24"/>
        </w:rPr>
      </w:pPr>
    </w:p>
    <w:p w:rsidR="00A97D8B" w:rsidRPr="00E20DC1" w:rsidRDefault="00A97D8B" w:rsidP="00A97D8B">
      <w:pPr>
        <w:pStyle w:val="Prrafodelista"/>
        <w:numPr>
          <w:ilvl w:val="0"/>
          <w:numId w:val="1"/>
        </w:numPr>
        <w:spacing w:line="360" w:lineRule="auto"/>
        <w:jc w:val="both"/>
        <w:rPr>
          <w:rFonts w:ascii="Palatino Linotype" w:hAnsi="Palatino Linotype"/>
          <w:sz w:val="24"/>
          <w:szCs w:val="24"/>
        </w:rPr>
      </w:pPr>
      <w:r>
        <w:rPr>
          <w:rFonts w:ascii="Palatino Linotype" w:hAnsi="Palatino Linotype"/>
          <w:sz w:val="24"/>
          <w:szCs w:val="24"/>
        </w:rPr>
        <w:t>En consecuencia, es que resultaría</w:t>
      </w:r>
      <w:r w:rsidRPr="00E20DC1">
        <w:rPr>
          <w:rFonts w:ascii="Palatino Linotype" w:hAnsi="Palatino Linotype"/>
          <w:sz w:val="24"/>
          <w:szCs w:val="24"/>
        </w:rPr>
        <w:t xml:space="preserve"> legítimo ordenar la entrega del documento </w:t>
      </w:r>
      <w:r>
        <w:rPr>
          <w:rFonts w:ascii="Palatino Linotype" w:hAnsi="Palatino Linotype"/>
          <w:sz w:val="24"/>
          <w:szCs w:val="24"/>
        </w:rPr>
        <w:t>requerido por el particular en su versión íntegra</w:t>
      </w:r>
      <w:r w:rsidRPr="00E20DC1">
        <w:rPr>
          <w:rFonts w:ascii="Palatino Linotype" w:hAnsi="Palatino Linotype"/>
          <w:sz w:val="24"/>
          <w:szCs w:val="24"/>
        </w:rPr>
        <w:t>, con la finalidad de res</w:t>
      </w:r>
      <w:r>
        <w:rPr>
          <w:rFonts w:ascii="Palatino Linotype" w:hAnsi="Palatino Linotype"/>
          <w:sz w:val="24"/>
          <w:szCs w:val="24"/>
        </w:rPr>
        <w:t xml:space="preserve">petar plenamente el derecho </w:t>
      </w:r>
      <w:r w:rsidRPr="00E20DC1">
        <w:rPr>
          <w:rFonts w:ascii="Palatino Linotype" w:hAnsi="Palatino Linotype"/>
          <w:sz w:val="24"/>
          <w:szCs w:val="24"/>
        </w:rPr>
        <w:t>de acceso a la información</w:t>
      </w:r>
      <w:r>
        <w:rPr>
          <w:rFonts w:ascii="Palatino Linotype" w:hAnsi="Palatino Linotype"/>
          <w:sz w:val="24"/>
          <w:szCs w:val="24"/>
        </w:rPr>
        <w:t xml:space="preserve"> de la particular</w:t>
      </w:r>
      <w:r w:rsidRPr="00E20DC1">
        <w:rPr>
          <w:rFonts w:ascii="Palatino Linotype" w:hAnsi="Palatino Linotype"/>
          <w:sz w:val="24"/>
          <w:szCs w:val="24"/>
        </w:rPr>
        <w:t>.</w:t>
      </w:r>
    </w:p>
    <w:p w:rsidR="00A97D8B" w:rsidRPr="00E20DC1" w:rsidRDefault="00A97D8B" w:rsidP="00A97D8B">
      <w:pPr>
        <w:pStyle w:val="Prrafodelista"/>
        <w:rPr>
          <w:rFonts w:ascii="Palatino Linotype" w:hAnsi="Palatino Linotype"/>
          <w:sz w:val="24"/>
          <w:szCs w:val="24"/>
        </w:rPr>
      </w:pPr>
    </w:p>
    <w:p w:rsidR="00A97D8B" w:rsidRPr="00E20DC1" w:rsidRDefault="00A97D8B" w:rsidP="00A97D8B">
      <w:pPr>
        <w:pStyle w:val="Prrafodelista"/>
        <w:numPr>
          <w:ilvl w:val="0"/>
          <w:numId w:val="1"/>
        </w:numPr>
        <w:spacing w:line="360" w:lineRule="auto"/>
        <w:jc w:val="both"/>
        <w:rPr>
          <w:rFonts w:ascii="Palatino Linotype" w:hAnsi="Palatino Linotype"/>
          <w:sz w:val="24"/>
          <w:szCs w:val="24"/>
        </w:rPr>
      </w:pPr>
      <w:r w:rsidRPr="00E20DC1">
        <w:rPr>
          <w:rFonts w:ascii="Palatino Linotype" w:hAnsi="Palatino Linotype"/>
          <w:sz w:val="24"/>
          <w:szCs w:val="24"/>
        </w:rPr>
        <w:t>Apoya este voto lo señalado por el en ese entonces Instituto Federal de Acceso a la Información en el criterio 1/13 “Fotografía de una persona física que conste en su título o cédula profesional no es susceptible de clasificarse con carácter de confidencial” y el 5-09 “Fotografía de servidores públicos es un dato personal confidencial”, el segundo de los cuales reconoce que esto se aplica “salvo en los casos que se detecten circunstancias particulares que ameriten un tratamiento singular del caso en cuestión”.</w:t>
      </w:r>
    </w:p>
    <w:p w:rsidR="00A97D8B" w:rsidRPr="00E20DC1" w:rsidRDefault="00A97D8B" w:rsidP="00A97D8B">
      <w:pPr>
        <w:pStyle w:val="Prrafodelista"/>
        <w:spacing w:line="360" w:lineRule="auto"/>
        <w:jc w:val="both"/>
        <w:rPr>
          <w:rFonts w:ascii="Palatino Linotype" w:hAnsi="Palatino Linotype"/>
          <w:sz w:val="24"/>
          <w:szCs w:val="24"/>
        </w:rPr>
      </w:pPr>
    </w:p>
    <w:p w:rsidR="00A97D8B" w:rsidRDefault="00A97D8B" w:rsidP="00A97D8B">
      <w:pPr>
        <w:pStyle w:val="Prrafodelista"/>
        <w:numPr>
          <w:ilvl w:val="0"/>
          <w:numId w:val="1"/>
        </w:numPr>
        <w:spacing w:line="360" w:lineRule="auto"/>
        <w:jc w:val="both"/>
        <w:rPr>
          <w:rFonts w:ascii="Palatino Linotype" w:hAnsi="Palatino Linotype"/>
          <w:sz w:val="24"/>
          <w:szCs w:val="24"/>
        </w:rPr>
      </w:pPr>
      <w:r w:rsidRPr="00E20DC1">
        <w:rPr>
          <w:rFonts w:ascii="Palatino Linotype" w:hAnsi="Palatino Linotype"/>
          <w:sz w:val="24"/>
          <w:szCs w:val="24"/>
        </w:rPr>
        <w:t>En términos similares, el entonces Instituto Federal de Acceso a la Información Pública (IFAI) ahora Instituto Nacional de Transparencia, Acceso a la Información y Protección de Datos Personales emitió el criterio número 010-10, que es de la literalidad siguiente:</w:t>
      </w:r>
    </w:p>
    <w:p w:rsidR="00A97D8B" w:rsidRPr="003A6C2E" w:rsidRDefault="00A97D8B" w:rsidP="00A97D8B">
      <w:pPr>
        <w:pStyle w:val="Prrafodelista"/>
        <w:rPr>
          <w:rFonts w:ascii="Palatino Linotype" w:hAnsi="Palatino Linotype"/>
          <w:sz w:val="24"/>
          <w:szCs w:val="24"/>
        </w:rPr>
      </w:pPr>
    </w:p>
    <w:p w:rsidR="00A97D8B" w:rsidRDefault="00A97D8B" w:rsidP="00A97D8B">
      <w:pPr>
        <w:pStyle w:val="Prrafodelista"/>
        <w:spacing w:line="360" w:lineRule="auto"/>
        <w:jc w:val="both"/>
        <w:rPr>
          <w:rFonts w:ascii="Palatino Linotype" w:hAnsi="Palatino Linotype"/>
          <w:sz w:val="24"/>
          <w:szCs w:val="24"/>
        </w:rPr>
      </w:pPr>
      <w:r w:rsidRPr="00E20DC1">
        <w:rPr>
          <w:rFonts w:ascii="Palatino Linotype" w:hAnsi="Palatino Linotype"/>
          <w:sz w:val="24"/>
          <w:szCs w:val="24"/>
        </w:rPr>
        <w:t>“</w:t>
      </w:r>
      <w:r w:rsidRPr="00E20DC1">
        <w:rPr>
          <w:rFonts w:ascii="Palatino Linotype" w:hAnsi="Palatino Linotype"/>
          <w:b/>
          <w:sz w:val="24"/>
          <w:szCs w:val="24"/>
        </w:rPr>
        <w:t>La firma de los servidores públicos es información de carácter público cuando ésta es utilizada en el ejercicio de las facultades conferidas para el desempeño del servicio público</w:t>
      </w:r>
      <w:r w:rsidRPr="00E20DC1">
        <w:rPr>
          <w:rFonts w:ascii="Palatino Linotype" w:hAnsi="Palatino Linotype"/>
          <w:sz w:val="24"/>
          <w:szCs w:val="24"/>
        </w:rPr>
        <w:t xml:space="preserve">. Si bien la firma es un dato personal </w:t>
      </w:r>
      <w:r w:rsidRPr="00E20DC1">
        <w:rPr>
          <w:rFonts w:ascii="Palatino Linotype" w:hAnsi="Palatino Linotype"/>
          <w:sz w:val="24"/>
          <w:szCs w:val="24"/>
        </w:rPr>
        <w:lastRenderedPageBreak/>
        <w:t>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rsidR="00A97D8B" w:rsidRDefault="00A97D8B" w:rsidP="00A97D8B">
      <w:pPr>
        <w:ind w:left="1080"/>
        <w:jc w:val="both"/>
        <w:rPr>
          <w:rFonts w:ascii="Palatino Linotype" w:hAnsi="Palatino Linotype"/>
          <w:b/>
          <w:sz w:val="24"/>
          <w:szCs w:val="24"/>
        </w:rPr>
      </w:pPr>
      <w:r w:rsidRPr="00E20DC1">
        <w:rPr>
          <w:rFonts w:ascii="Palatino Linotype" w:hAnsi="Palatino Linotype"/>
          <w:b/>
          <w:sz w:val="24"/>
          <w:szCs w:val="24"/>
        </w:rPr>
        <w:t>Restricciones legítimas al derecho a la privacidad.</w:t>
      </w:r>
    </w:p>
    <w:p w:rsidR="003B3FC7" w:rsidRPr="00E20DC1" w:rsidRDefault="003B3FC7" w:rsidP="00A97D8B">
      <w:pPr>
        <w:ind w:left="1080"/>
        <w:jc w:val="both"/>
        <w:rPr>
          <w:rFonts w:ascii="Palatino Linotype" w:hAnsi="Palatino Linotype"/>
          <w:b/>
          <w:sz w:val="24"/>
          <w:szCs w:val="24"/>
        </w:rPr>
      </w:pPr>
    </w:p>
    <w:p w:rsidR="00A97D8B" w:rsidRPr="00E20DC1" w:rsidRDefault="00A97D8B" w:rsidP="00A97D8B">
      <w:pPr>
        <w:pStyle w:val="Prrafodelista"/>
        <w:numPr>
          <w:ilvl w:val="0"/>
          <w:numId w:val="1"/>
        </w:numPr>
        <w:spacing w:line="360" w:lineRule="auto"/>
        <w:jc w:val="both"/>
        <w:rPr>
          <w:rFonts w:ascii="Palatino Linotype" w:hAnsi="Palatino Linotype"/>
          <w:sz w:val="24"/>
          <w:szCs w:val="24"/>
        </w:rPr>
      </w:pPr>
      <w:r w:rsidRPr="00E20DC1">
        <w:rPr>
          <w:rFonts w:ascii="Palatino Linotype" w:hAnsi="Palatino Linotype"/>
          <w:sz w:val="24"/>
          <w:szCs w:val="24"/>
        </w:rPr>
        <w:t>Podría señalarse que este voto constituye una restricción al derecho de protección de datos personales de los funcionarios públicos, lo cual es cierto ya que las mismas disposiciones señalan que es dable establecer límites, siempre y cuando se sujeten a procedimientos estrictos para la adecuada defensa de la dignidad humana y la propia viabilidad de la sociedad democrática.</w:t>
      </w:r>
    </w:p>
    <w:p w:rsidR="00A97D8B" w:rsidRPr="00E20DC1" w:rsidRDefault="00A97D8B" w:rsidP="00A97D8B">
      <w:pPr>
        <w:pStyle w:val="Prrafodelista"/>
        <w:spacing w:line="360" w:lineRule="auto"/>
        <w:ind w:left="360"/>
        <w:jc w:val="both"/>
        <w:rPr>
          <w:rFonts w:ascii="Palatino Linotype" w:hAnsi="Palatino Linotype"/>
          <w:sz w:val="24"/>
          <w:szCs w:val="24"/>
        </w:rPr>
      </w:pPr>
    </w:p>
    <w:p w:rsidR="00A97D8B" w:rsidRDefault="00A97D8B" w:rsidP="00A97D8B">
      <w:pPr>
        <w:pStyle w:val="Prrafodelista"/>
        <w:numPr>
          <w:ilvl w:val="0"/>
          <w:numId w:val="1"/>
        </w:numPr>
        <w:spacing w:line="360" w:lineRule="auto"/>
        <w:jc w:val="both"/>
        <w:rPr>
          <w:rFonts w:ascii="Palatino Linotype" w:hAnsi="Palatino Linotype"/>
          <w:sz w:val="24"/>
          <w:szCs w:val="24"/>
        </w:rPr>
      </w:pPr>
      <w:r w:rsidRPr="00E20DC1">
        <w:rPr>
          <w:rFonts w:ascii="Palatino Linotype" w:hAnsi="Palatino Linotype"/>
          <w:sz w:val="24"/>
          <w:szCs w:val="24"/>
        </w:rPr>
        <w:t xml:space="preserve">Para justificar el presente voto, vale la pena acudir a criterios de interpretación constitucional bajo el recurso del intérprete externo, según lo recomienda el Dr. </w:t>
      </w:r>
      <w:proofErr w:type="spellStart"/>
      <w:r w:rsidRPr="00E20DC1">
        <w:rPr>
          <w:rFonts w:ascii="Palatino Linotype" w:hAnsi="Palatino Linotype"/>
          <w:sz w:val="24"/>
          <w:szCs w:val="24"/>
        </w:rPr>
        <w:t>Nestor</w:t>
      </w:r>
      <w:proofErr w:type="spellEnd"/>
      <w:r w:rsidRPr="00E20DC1">
        <w:rPr>
          <w:rFonts w:ascii="Palatino Linotype" w:hAnsi="Palatino Linotype"/>
          <w:sz w:val="24"/>
          <w:szCs w:val="24"/>
        </w:rPr>
        <w:t xml:space="preserve"> Pedro </w:t>
      </w:r>
      <w:proofErr w:type="spellStart"/>
      <w:r w:rsidRPr="00E20DC1">
        <w:rPr>
          <w:rFonts w:ascii="Palatino Linotype" w:hAnsi="Palatino Linotype"/>
          <w:sz w:val="24"/>
          <w:szCs w:val="24"/>
        </w:rPr>
        <w:t>Sagüés</w:t>
      </w:r>
      <w:proofErr w:type="spellEnd"/>
      <w:r w:rsidRPr="00E20DC1">
        <w:rPr>
          <w:rFonts w:ascii="Palatino Linotype" w:hAnsi="Palatino Linotype"/>
          <w:sz w:val="24"/>
          <w:szCs w:val="24"/>
        </w:rPr>
        <w:t>.</w:t>
      </w:r>
      <w:r w:rsidRPr="00E20DC1">
        <w:rPr>
          <w:rFonts w:ascii="Palatino Linotype" w:hAnsi="Palatino Linotype"/>
          <w:sz w:val="24"/>
          <w:szCs w:val="24"/>
          <w:vertAlign w:val="superscript"/>
        </w:rPr>
        <w:footnoteReference w:id="6"/>
      </w:r>
      <w:r w:rsidRPr="00E20DC1">
        <w:rPr>
          <w:rFonts w:ascii="Palatino Linotype" w:hAnsi="Palatino Linotype"/>
          <w:sz w:val="24"/>
          <w:szCs w:val="24"/>
        </w:rPr>
        <w:t xml:space="preserve"> Para ello se acude a la interpretación de las más Altas </w:t>
      </w:r>
      <w:r w:rsidRPr="00E20DC1">
        <w:rPr>
          <w:rFonts w:ascii="Palatino Linotype" w:hAnsi="Palatino Linotype"/>
          <w:sz w:val="24"/>
          <w:szCs w:val="24"/>
        </w:rPr>
        <w:lastRenderedPageBreak/>
        <w:t>Cortes, en primer lugar el Tribunal Constitucional Alemán y en segundo término el Tribunal de Estrasburgo.</w:t>
      </w:r>
    </w:p>
    <w:p w:rsidR="003B3FC7" w:rsidRPr="003B3FC7" w:rsidRDefault="003B3FC7" w:rsidP="003B3FC7">
      <w:pPr>
        <w:pStyle w:val="Prrafodelista"/>
        <w:rPr>
          <w:rFonts w:ascii="Palatino Linotype" w:hAnsi="Palatino Linotype"/>
          <w:sz w:val="24"/>
          <w:szCs w:val="24"/>
        </w:rPr>
      </w:pPr>
    </w:p>
    <w:p w:rsidR="00A97D8B" w:rsidRPr="00E20DC1" w:rsidRDefault="00A97D8B" w:rsidP="00A97D8B">
      <w:pPr>
        <w:pStyle w:val="Prrafodelista"/>
        <w:numPr>
          <w:ilvl w:val="0"/>
          <w:numId w:val="1"/>
        </w:numPr>
        <w:spacing w:line="360" w:lineRule="auto"/>
        <w:jc w:val="both"/>
        <w:rPr>
          <w:rFonts w:ascii="Palatino Linotype" w:hAnsi="Palatino Linotype"/>
          <w:sz w:val="24"/>
          <w:szCs w:val="24"/>
        </w:rPr>
      </w:pPr>
      <w:r w:rsidRPr="00E20DC1">
        <w:rPr>
          <w:rFonts w:ascii="Palatino Linotype" w:hAnsi="Palatino Linotype"/>
          <w:sz w:val="24"/>
          <w:szCs w:val="24"/>
        </w:rPr>
        <w:t>El Tribunal Constitucional Alemán en su sentencia sobre el espionaje acústico masivo, de 3 de marzo de 2004 (</w:t>
      </w:r>
      <w:proofErr w:type="spellStart"/>
      <w:r w:rsidRPr="00E20DC1">
        <w:rPr>
          <w:rFonts w:ascii="Palatino Linotype" w:hAnsi="Palatino Linotype"/>
          <w:sz w:val="24"/>
          <w:szCs w:val="24"/>
        </w:rPr>
        <w:t>BVerfGE</w:t>
      </w:r>
      <w:proofErr w:type="spellEnd"/>
      <w:r w:rsidRPr="00E20DC1">
        <w:rPr>
          <w:rFonts w:ascii="Palatino Linotype" w:hAnsi="Palatino Linotype"/>
          <w:sz w:val="24"/>
          <w:szCs w:val="24"/>
        </w:rPr>
        <w:t xml:space="preserve"> 190, 279) señala:</w:t>
      </w:r>
    </w:p>
    <w:p w:rsidR="00A97D8B" w:rsidRPr="00E20DC1" w:rsidRDefault="00A97D8B" w:rsidP="00A97D8B">
      <w:pPr>
        <w:ind w:left="709"/>
        <w:jc w:val="both"/>
        <w:rPr>
          <w:rFonts w:ascii="Palatino Linotype" w:hAnsi="Palatino Linotype"/>
          <w:i/>
          <w:sz w:val="24"/>
          <w:szCs w:val="24"/>
        </w:rPr>
      </w:pPr>
      <w:r w:rsidRPr="00E20DC1">
        <w:rPr>
          <w:rFonts w:ascii="Palatino Linotype" w:hAnsi="Palatino Linotype"/>
          <w:i/>
          <w:sz w:val="24"/>
          <w:szCs w:val="24"/>
        </w:rPr>
        <w:t xml:space="preserve">“a) Para ver si una medida limitadora de derechos fundamentales es proporcionada, resulta decisiva la intensidad de la injerencia. Por ello es de importancia saber cuántas personas se ven afectadas y cuán intensas son las afecciones, y si estas personas han dado motivos para ello (vid. </w:t>
      </w:r>
      <w:proofErr w:type="spellStart"/>
      <w:r w:rsidRPr="00E20DC1">
        <w:rPr>
          <w:rFonts w:ascii="Palatino Linotype" w:hAnsi="Palatino Linotype"/>
          <w:i/>
          <w:sz w:val="24"/>
          <w:szCs w:val="24"/>
        </w:rPr>
        <w:t>BVerfGE</w:t>
      </w:r>
      <w:proofErr w:type="spellEnd"/>
      <w:r w:rsidRPr="00E20DC1">
        <w:rPr>
          <w:rFonts w:ascii="Palatino Linotype" w:hAnsi="Palatino Linotype"/>
          <w:i/>
          <w:sz w:val="24"/>
          <w:szCs w:val="24"/>
        </w:rPr>
        <w:t xml:space="preserve"> 100, 313, 376). El peso de la afectación depende de si los afectados permanecen anónimos como personas, de qué circunstancias y contenidos de la comunicación pueden ser abarcados y que perjuicios amenazan a los titulares de derechos fundamentales desde la medida de vigilancia o que ellos razonablemente temen (vid. </w:t>
      </w:r>
      <w:proofErr w:type="spellStart"/>
      <w:r w:rsidRPr="00E20DC1">
        <w:rPr>
          <w:rFonts w:ascii="Palatino Linotype" w:hAnsi="Palatino Linotype"/>
          <w:i/>
          <w:sz w:val="24"/>
          <w:szCs w:val="24"/>
        </w:rPr>
        <w:t>BVerfGE</w:t>
      </w:r>
      <w:proofErr w:type="spellEnd"/>
      <w:r w:rsidRPr="00E20DC1">
        <w:rPr>
          <w:rFonts w:ascii="Palatino Linotype" w:hAnsi="Palatino Linotype"/>
          <w:i/>
          <w:sz w:val="24"/>
          <w:szCs w:val="24"/>
        </w:rPr>
        <w:t xml:space="preserve"> 100, 313, 376; 107, 299, 320). Además, la situación también es diferente dependiendo de si las medidas de investigación tienen lugar en una vivienda privada o en espacios industriales o comerciales y de si se ven afectados terceros no sospechosos y del número de estos”.</w:t>
      </w:r>
      <w:r w:rsidRPr="00E20DC1">
        <w:rPr>
          <w:rFonts w:ascii="Palatino Linotype" w:hAnsi="Palatino Linotype"/>
          <w:i/>
          <w:sz w:val="24"/>
          <w:szCs w:val="24"/>
          <w:vertAlign w:val="superscript"/>
        </w:rPr>
        <w:footnoteReference w:id="7"/>
      </w:r>
    </w:p>
    <w:p w:rsidR="00A97D8B" w:rsidRPr="00E20DC1" w:rsidRDefault="00A97D8B" w:rsidP="00A97D8B">
      <w:pPr>
        <w:jc w:val="both"/>
        <w:rPr>
          <w:rFonts w:ascii="Palatino Linotype" w:hAnsi="Palatino Linotype"/>
          <w:sz w:val="24"/>
          <w:szCs w:val="24"/>
        </w:rPr>
      </w:pPr>
    </w:p>
    <w:p w:rsidR="00A97D8B" w:rsidRPr="00E20DC1" w:rsidRDefault="00A97D8B" w:rsidP="00A97D8B">
      <w:pPr>
        <w:pStyle w:val="Prrafodelista"/>
        <w:numPr>
          <w:ilvl w:val="0"/>
          <w:numId w:val="1"/>
        </w:numPr>
        <w:spacing w:line="360" w:lineRule="auto"/>
        <w:jc w:val="both"/>
        <w:rPr>
          <w:rFonts w:ascii="Palatino Linotype" w:hAnsi="Palatino Linotype"/>
          <w:sz w:val="24"/>
          <w:szCs w:val="24"/>
        </w:rPr>
      </w:pPr>
      <w:r w:rsidRPr="00E20DC1">
        <w:rPr>
          <w:rFonts w:ascii="Palatino Linotype" w:hAnsi="Palatino Linotype"/>
          <w:sz w:val="24"/>
          <w:szCs w:val="24"/>
        </w:rPr>
        <w:t xml:space="preserve">En el caso de la solicitud de acceso a la información promovida por </w:t>
      </w:r>
      <w:r>
        <w:rPr>
          <w:rFonts w:ascii="Palatino Linotype" w:hAnsi="Palatino Linotype"/>
          <w:sz w:val="24"/>
          <w:szCs w:val="24"/>
        </w:rPr>
        <w:t xml:space="preserve">la </w:t>
      </w:r>
      <w:r w:rsidRPr="00E20DC1">
        <w:rPr>
          <w:rFonts w:ascii="Palatino Linotype" w:hAnsi="Palatino Linotype"/>
          <w:sz w:val="24"/>
          <w:szCs w:val="24"/>
        </w:rPr>
        <w:t xml:space="preserve">particular es evidente que las personas </w:t>
      </w:r>
      <w:r w:rsidR="00301086">
        <w:rPr>
          <w:rFonts w:ascii="Palatino Linotype" w:hAnsi="Palatino Linotype"/>
          <w:sz w:val="24"/>
          <w:szCs w:val="24"/>
        </w:rPr>
        <w:t xml:space="preserve">adscritas a la Dirección de Datos Personales de este Órgano </w:t>
      </w:r>
      <w:proofErr w:type="spellStart"/>
      <w:r w:rsidR="00301086">
        <w:rPr>
          <w:rFonts w:ascii="Palatino Linotype" w:hAnsi="Palatino Linotype"/>
          <w:sz w:val="24"/>
          <w:szCs w:val="24"/>
        </w:rPr>
        <w:t>Garane</w:t>
      </w:r>
      <w:proofErr w:type="spellEnd"/>
      <w:r>
        <w:rPr>
          <w:rFonts w:ascii="Palatino Linotype" w:hAnsi="Palatino Linotype"/>
          <w:sz w:val="24"/>
          <w:szCs w:val="24"/>
        </w:rPr>
        <w:t>,</w:t>
      </w:r>
      <w:r w:rsidRPr="00E20DC1">
        <w:rPr>
          <w:rFonts w:ascii="Palatino Linotype" w:hAnsi="Palatino Linotype"/>
          <w:sz w:val="24"/>
          <w:szCs w:val="24"/>
        </w:rPr>
        <w:t xml:space="preserve"> no sólo han ingresado al servicio público, sino que además detentan cargos de alta responsabilidad; por lo que hace a la circunstancia de la información requerida, el título profesional se rigen por la concurrencia de una </w:t>
      </w:r>
      <w:r w:rsidRPr="00E20DC1">
        <w:rPr>
          <w:rFonts w:ascii="Palatino Linotype" w:hAnsi="Palatino Linotype"/>
          <w:sz w:val="24"/>
          <w:szCs w:val="24"/>
        </w:rPr>
        <w:lastRenderedPageBreak/>
        <w:t xml:space="preserve">serie de elementos, todos los cuales resultan indispensables para acreditar  que una persona determinada cuenta con la patente respectiva; debe señalarse que la documental se ubica en un archivo público y es empleada para efectos de diferentes trámites. </w:t>
      </w:r>
    </w:p>
    <w:p w:rsidR="00A97D8B" w:rsidRPr="00E20DC1" w:rsidRDefault="00A97D8B" w:rsidP="00A97D8B">
      <w:pPr>
        <w:pStyle w:val="Prrafodelista"/>
        <w:spacing w:line="360" w:lineRule="auto"/>
        <w:ind w:left="360"/>
        <w:jc w:val="both"/>
        <w:rPr>
          <w:rFonts w:ascii="Palatino Linotype" w:hAnsi="Palatino Linotype"/>
          <w:sz w:val="24"/>
          <w:szCs w:val="24"/>
        </w:rPr>
      </w:pPr>
    </w:p>
    <w:p w:rsidR="00A97D8B" w:rsidRPr="00E20DC1" w:rsidRDefault="00A97D8B" w:rsidP="00A97D8B">
      <w:pPr>
        <w:pStyle w:val="Prrafodelista"/>
        <w:numPr>
          <w:ilvl w:val="0"/>
          <w:numId w:val="1"/>
        </w:numPr>
        <w:spacing w:line="360" w:lineRule="auto"/>
        <w:jc w:val="both"/>
        <w:rPr>
          <w:rFonts w:ascii="Palatino Linotype" w:hAnsi="Palatino Linotype"/>
          <w:sz w:val="24"/>
          <w:szCs w:val="24"/>
        </w:rPr>
      </w:pPr>
      <w:r w:rsidRPr="00E20DC1">
        <w:rPr>
          <w:rFonts w:ascii="Palatino Linotype" w:hAnsi="Palatino Linotype"/>
          <w:sz w:val="24"/>
          <w:szCs w:val="24"/>
        </w:rPr>
        <w:t>Por su parte el Tribunal Europeo de Derechos Humanos, al analizar temas relacionados con el uso de fotografías ha centrado su análisis en determinar el ámbito en el que éstas se localizan, según se aprecia en la sentencia del Asunto Von Hannover c. Alemania, de 24 de junio de 2004, señalando lo siguiente:</w:t>
      </w:r>
    </w:p>
    <w:p w:rsidR="00A97D8B" w:rsidRPr="00E20DC1" w:rsidRDefault="00A97D8B" w:rsidP="00A97D8B">
      <w:pPr>
        <w:jc w:val="both"/>
        <w:rPr>
          <w:rFonts w:ascii="Palatino Linotype" w:hAnsi="Palatino Linotype"/>
          <w:sz w:val="24"/>
          <w:szCs w:val="24"/>
        </w:rPr>
      </w:pPr>
    </w:p>
    <w:p w:rsidR="00A97D8B" w:rsidRPr="004B78C7" w:rsidRDefault="00A97D8B" w:rsidP="00A97D8B">
      <w:pPr>
        <w:ind w:left="709"/>
        <w:jc w:val="both"/>
        <w:rPr>
          <w:rFonts w:ascii="Palatino Linotype" w:hAnsi="Palatino Linotype"/>
          <w:i/>
          <w:sz w:val="24"/>
          <w:szCs w:val="24"/>
        </w:rPr>
      </w:pPr>
      <w:r w:rsidRPr="00E20DC1">
        <w:rPr>
          <w:rFonts w:ascii="Palatino Linotype" w:hAnsi="Palatino Linotype"/>
          <w:i/>
          <w:sz w:val="24"/>
          <w:szCs w:val="24"/>
        </w:rPr>
        <w:t xml:space="preserve">“52. En el caso de fotografías, la Comisión, para determinar el alcance de la protección que otorga el artículo 8 contra la injerencia arbitraria de las autoridades públicas, examinó si eran referentes a un ámbito privado o a incidentes públicos, y si los elementos así obtenidos estaban destinados a un uso limitado o podían ser accesibles al público en general (ver, mutatis mutandis, Sentencia </w:t>
      </w:r>
      <w:proofErr w:type="spellStart"/>
      <w:r w:rsidRPr="00E20DC1">
        <w:rPr>
          <w:rFonts w:ascii="Palatino Linotype" w:hAnsi="Palatino Linotype"/>
          <w:i/>
          <w:sz w:val="24"/>
          <w:szCs w:val="24"/>
        </w:rPr>
        <w:t>Friedl</w:t>
      </w:r>
      <w:proofErr w:type="spellEnd"/>
      <w:r w:rsidRPr="00E20DC1">
        <w:rPr>
          <w:rFonts w:ascii="Palatino Linotype" w:hAnsi="Palatino Linotype"/>
          <w:i/>
          <w:sz w:val="24"/>
          <w:szCs w:val="24"/>
        </w:rPr>
        <w:t xml:space="preserve"> contra Austria de 31 de enero de 1995, serie A núm. 305-B, acuerdo amistoso, Dictamen de la Comisión, pg. 21, </w:t>
      </w:r>
      <w:proofErr w:type="spellStart"/>
      <w:r w:rsidRPr="00E20DC1">
        <w:rPr>
          <w:rFonts w:ascii="Palatino Linotype" w:hAnsi="Palatino Linotype"/>
          <w:i/>
          <w:sz w:val="24"/>
          <w:szCs w:val="24"/>
        </w:rPr>
        <w:t>aps</w:t>
      </w:r>
      <w:proofErr w:type="spellEnd"/>
      <w:r w:rsidRPr="00E20DC1">
        <w:rPr>
          <w:rFonts w:ascii="Palatino Linotype" w:hAnsi="Palatino Linotype"/>
          <w:i/>
          <w:sz w:val="24"/>
          <w:szCs w:val="24"/>
        </w:rPr>
        <w:t xml:space="preserve">. 49-52, PG y JH anteriormente citada, ap. 58 y </w:t>
      </w:r>
      <w:proofErr w:type="spellStart"/>
      <w:r w:rsidRPr="00E20DC1">
        <w:rPr>
          <w:rFonts w:ascii="Palatino Linotype" w:hAnsi="Palatino Linotype"/>
          <w:i/>
          <w:sz w:val="24"/>
          <w:szCs w:val="24"/>
        </w:rPr>
        <w:t>Peck</w:t>
      </w:r>
      <w:proofErr w:type="spellEnd"/>
      <w:r w:rsidRPr="00E20DC1">
        <w:rPr>
          <w:rFonts w:ascii="Palatino Linotype" w:hAnsi="Palatino Linotype"/>
          <w:i/>
          <w:sz w:val="24"/>
          <w:szCs w:val="24"/>
        </w:rPr>
        <w:t>, previamente citada, ap. 61)”.</w:t>
      </w:r>
      <w:r w:rsidRPr="00E20DC1">
        <w:rPr>
          <w:rFonts w:ascii="Palatino Linotype" w:hAnsi="Palatino Linotype"/>
          <w:i/>
          <w:sz w:val="24"/>
          <w:szCs w:val="24"/>
          <w:vertAlign w:val="superscript"/>
        </w:rPr>
        <w:footnoteReference w:id="8"/>
      </w:r>
      <w:r w:rsidRPr="00E20DC1">
        <w:rPr>
          <w:rFonts w:ascii="Palatino Linotype" w:hAnsi="Palatino Linotype"/>
          <w:i/>
          <w:sz w:val="24"/>
          <w:szCs w:val="24"/>
        </w:rPr>
        <w:t xml:space="preserve">  </w:t>
      </w:r>
    </w:p>
    <w:p w:rsidR="00A97D8B" w:rsidRDefault="00A97D8B" w:rsidP="00A97D8B">
      <w:pPr>
        <w:pStyle w:val="Prrafodelista"/>
        <w:numPr>
          <w:ilvl w:val="0"/>
          <w:numId w:val="1"/>
        </w:numPr>
        <w:spacing w:line="360" w:lineRule="auto"/>
        <w:jc w:val="both"/>
        <w:rPr>
          <w:rFonts w:ascii="Palatino Linotype" w:hAnsi="Palatino Linotype"/>
          <w:sz w:val="24"/>
          <w:szCs w:val="24"/>
        </w:rPr>
      </w:pPr>
      <w:r w:rsidRPr="00E20DC1">
        <w:rPr>
          <w:rFonts w:ascii="Palatino Linotype" w:hAnsi="Palatino Linotype"/>
          <w:sz w:val="24"/>
          <w:szCs w:val="24"/>
        </w:rPr>
        <w:t xml:space="preserve">En el presente recurso, puede señalarse que la expedición del título profesional tiene como finalidad el acreditar que una persona determinada cuenta con grado académico respectivo, lo que resulta indispensable para efectos de su práctica profesional toda vez que es perfectamente razonable que, aún en terreno de las </w:t>
      </w:r>
      <w:r w:rsidRPr="00E20DC1">
        <w:rPr>
          <w:rFonts w:ascii="Palatino Linotype" w:hAnsi="Palatino Linotype"/>
          <w:sz w:val="24"/>
          <w:szCs w:val="24"/>
        </w:rPr>
        <w:lastRenderedPageBreak/>
        <w:t>relaciones entre particulares, cuando establezca cualquier relación de prestación de servicios, la contraparte contratante ejerza su derecho a verificar que la persona con la que está estableciendo una relación determinada, cuenta con el grado académico respectivo, lo que debería de constituir una obligación agravada de comprobación del perfil profesional cuando la prestación de los servicios profesionales se sitúa en el ámbito de la esfera pública en cargos que no son resultado de un proceso de elección popular, sino que se ubican en la esfera de la administración pública y, más aún, cuando se trata de cargos directivos que, para ser ocupados, deben cumplir con determinados requisitos de profesión expresamente señalados por la ley. Visto lo anterior es evidente que nos encontramos en la esfera de los incidentes públicos y no en el ámbito privado.</w:t>
      </w:r>
    </w:p>
    <w:p w:rsidR="00A97D8B" w:rsidRDefault="00A97D8B" w:rsidP="003B3FC7">
      <w:pPr>
        <w:pStyle w:val="Ttulo1"/>
        <w:numPr>
          <w:ilvl w:val="0"/>
          <w:numId w:val="12"/>
        </w:numPr>
        <w:rPr>
          <w:b w:val="0"/>
          <w:color w:val="000000" w:themeColor="text1"/>
          <w:szCs w:val="24"/>
        </w:rPr>
      </w:pPr>
      <w:bookmarkStart w:id="5" w:name="_Toc485633205"/>
      <w:bookmarkStart w:id="6" w:name="_Toc517097953"/>
      <w:bookmarkStart w:id="7" w:name="_Toc264969"/>
      <w:r w:rsidRPr="00E20DC1">
        <w:rPr>
          <w:color w:val="000000" w:themeColor="text1"/>
          <w:szCs w:val="24"/>
        </w:rPr>
        <w:t>Conclusión</w:t>
      </w:r>
      <w:bookmarkEnd w:id="5"/>
      <w:bookmarkEnd w:id="6"/>
      <w:bookmarkEnd w:id="7"/>
    </w:p>
    <w:p w:rsidR="00A97D8B" w:rsidRPr="001A3406" w:rsidRDefault="00A97D8B" w:rsidP="00A97D8B"/>
    <w:p w:rsidR="00301086" w:rsidRPr="00B10C1A" w:rsidRDefault="00301086" w:rsidP="00301086">
      <w:pPr>
        <w:pStyle w:val="Prrafodelista"/>
        <w:numPr>
          <w:ilvl w:val="0"/>
          <w:numId w:val="1"/>
        </w:numPr>
        <w:spacing w:after="0" w:line="360" w:lineRule="auto"/>
        <w:ind w:left="426"/>
        <w:jc w:val="both"/>
        <w:rPr>
          <w:rFonts w:ascii="Palatino Linotype" w:hAnsi="Palatino Linotype"/>
          <w:sz w:val="24"/>
          <w:szCs w:val="24"/>
        </w:rPr>
      </w:pPr>
      <w:r w:rsidRPr="00B10C1A">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301086" w:rsidRPr="00B10C1A" w:rsidRDefault="00301086" w:rsidP="00301086">
      <w:pPr>
        <w:pStyle w:val="Prrafodelista"/>
        <w:rPr>
          <w:rFonts w:ascii="Palatino Linotype" w:hAnsi="Palatino Linotype"/>
          <w:sz w:val="24"/>
          <w:szCs w:val="24"/>
        </w:rPr>
      </w:pPr>
    </w:p>
    <w:p w:rsidR="00145D32" w:rsidRPr="00301086" w:rsidRDefault="00301086" w:rsidP="00301086">
      <w:pPr>
        <w:pStyle w:val="Prrafodelista"/>
        <w:numPr>
          <w:ilvl w:val="0"/>
          <w:numId w:val="22"/>
        </w:numPr>
        <w:spacing w:line="360" w:lineRule="auto"/>
        <w:ind w:left="426"/>
        <w:jc w:val="both"/>
        <w:rPr>
          <w:rFonts w:ascii="Palatino Linotype" w:eastAsia="Calibri" w:hAnsi="Palatino Linotype" w:cs="Arial"/>
          <w:sz w:val="24"/>
          <w:szCs w:val="24"/>
        </w:rPr>
      </w:pPr>
      <w:r>
        <w:rPr>
          <w:rFonts w:ascii="Palatino Linotype" w:hAnsi="Palatino Linotype"/>
          <w:color w:val="000000" w:themeColor="text1"/>
          <w:sz w:val="24"/>
          <w:szCs w:val="24"/>
        </w:rPr>
        <w:t>Es así que,</w:t>
      </w:r>
      <w:r w:rsidR="00A97D8B" w:rsidRPr="009A3225">
        <w:rPr>
          <w:rFonts w:ascii="Palatino Linotype" w:hAnsi="Palatino Linotype"/>
          <w:color w:val="000000" w:themeColor="text1"/>
          <w:sz w:val="24"/>
          <w:szCs w:val="24"/>
        </w:rPr>
        <w:t xml:space="preserve"> el título profesional se integra por un conjunto de elementos cuya concurrencia simultánea permiten identificar clara e indubitablemente que una persona determinada cuenta con título para desempeñar una profesión y que </w:t>
      </w:r>
      <w:r w:rsidR="00A97D8B" w:rsidRPr="009A3225">
        <w:rPr>
          <w:rFonts w:ascii="Palatino Linotype" w:hAnsi="Palatino Linotype"/>
          <w:color w:val="000000" w:themeColor="text1"/>
          <w:sz w:val="24"/>
          <w:szCs w:val="24"/>
        </w:rPr>
        <w:lastRenderedPageBreak/>
        <w:t xml:space="preserve">por ello se ha emitido la respectiva patente. Para que </w:t>
      </w:r>
      <w:r w:rsidR="00A97D8B">
        <w:rPr>
          <w:rFonts w:ascii="Palatino Linotype" w:hAnsi="Palatino Linotype"/>
          <w:color w:val="000000" w:themeColor="text1"/>
          <w:sz w:val="24"/>
          <w:szCs w:val="24"/>
        </w:rPr>
        <w:t>la particular</w:t>
      </w:r>
      <w:r w:rsidR="00A97D8B" w:rsidRPr="009A3225">
        <w:rPr>
          <w:rFonts w:ascii="Palatino Linotype" w:hAnsi="Palatino Linotype"/>
          <w:color w:val="000000" w:themeColor="text1"/>
          <w:sz w:val="24"/>
          <w:szCs w:val="24"/>
        </w:rPr>
        <w:t xml:space="preserve"> pueda acceder en plenitud a su derecho de acceso a la información pública, debería de entregársele el documento integro, es decir, sin que se teste ninguno de sus elementos, actuar como se propone en la resolución resulta una carga desproporcionada que limita su derecho, afecta el ejercicio de control popular de los actos de gobierno, debilita el debate público informado que, a la larga, sólo puede contribuir al fortalecimiento de la sociedad democrática.</w:t>
      </w:r>
    </w:p>
    <w:p w:rsidR="00145D32" w:rsidRPr="00B10C1A" w:rsidRDefault="00145D32" w:rsidP="00145D32">
      <w:pPr>
        <w:pStyle w:val="Prrafodelista"/>
        <w:ind w:left="0"/>
        <w:rPr>
          <w:rFonts w:ascii="Palatino Linotype" w:eastAsia="Calibri" w:hAnsi="Palatino Linotype" w:cs="Arial"/>
          <w:sz w:val="24"/>
          <w:szCs w:val="24"/>
        </w:rPr>
      </w:pPr>
    </w:p>
    <w:p w:rsidR="00145D32" w:rsidRPr="00B10C1A" w:rsidRDefault="00145D32" w:rsidP="00145D32">
      <w:pPr>
        <w:pStyle w:val="Prrafodelista"/>
        <w:spacing w:before="240" w:after="240" w:line="360" w:lineRule="auto"/>
        <w:ind w:left="0"/>
        <w:jc w:val="both"/>
        <w:rPr>
          <w:rFonts w:ascii="Palatino Linotype" w:hAnsi="Palatino Linotype" w:cs="Arial"/>
          <w:color w:val="000000" w:themeColor="text1"/>
          <w:sz w:val="24"/>
          <w:szCs w:val="24"/>
        </w:rPr>
      </w:pPr>
    </w:p>
    <w:p w:rsidR="00232B6D" w:rsidRPr="00B10C1A" w:rsidRDefault="00232B6D" w:rsidP="00232B6D">
      <w:pPr>
        <w:spacing w:after="0" w:line="360" w:lineRule="auto"/>
        <w:contextualSpacing/>
        <w:jc w:val="both"/>
        <w:rPr>
          <w:rFonts w:ascii="Palatino Linotype" w:hAnsi="Palatino Linotype"/>
          <w:sz w:val="24"/>
          <w:szCs w:val="24"/>
        </w:rPr>
      </w:pPr>
    </w:p>
    <w:p w:rsidR="00232B6D" w:rsidRPr="00B10C1A" w:rsidRDefault="00232B6D" w:rsidP="00232B6D">
      <w:pPr>
        <w:spacing w:after="0" w:line="360" w:lineRule="auto"/>
        <w:contextualSpacing/>
        <w:jc w:val="both"/>
        <w:rPr>
          <w:rFonts w:ascii="Palatino Linotype" w:eastAsia="Calibri" w:hAnsi="Palatino Linotype" w:cs="Arial"/>
          <w:sz w:val="24"/>
          <w:szCs w:val="24"/>
        </w:rPr>
      </w:pPr>
    </w:p>
    <w:p w:rsidR="0046491C" w:rsidRPr="00B10C1A" w:rsidRDefault="0046491C" w:rsidP="0046491C">
      <w:pPr>
        <w:pStyle w:val="Sinespaciado"/>
        <w:spacing w:line="360" w:lineRule="auto"/>
        <w:jc w:val="center"/>
        <w:rPr>
          <w:rFonts w:ascii="Palatino Linotype" w:hAnsi="Palatino Linotype"/>
          <w:b/>
          <w:sz w:val="24"/>
          <w:szCs w:val="24"/>
        </w:rPr>
      </w:pPr>
      <w:r w:rsidRPr="00B10C1A">
        <w:rPr>
          <w:rFonts w:ascii="Palatino Linotype" w:hAnsi="Palatino Linotype"/>
          <w:b/>
          <w:sz w:val="24"/>
          <w:szCs w:val="24"/>
        </w:rPr>
        <w:t>JOSÉ GUADALUPE LUNA HERNÁNDEZ</w:t>
      </w:r>
    </w:p>
    <w:p w:rsidR="0046491C" w:rsidRPr="00B10C1A" w:rsidRDefault="0046491C" w:rsidP="00D33AF9">
      <w:pPr>
        <w:jc w:val="center"/>
        <w:rPr>
          <w:rFonts w:ascii="Palatino Linotype" w:hAnsi="Palatino Linotype"/>
          <w:b/>
          <w:sz w:val="24"/>
          <w:szCs w:val="24"/>
        </w:rPr>
      </w:pPr>
      <w:r w:rsidRPr="00B10C1A">
        <w:rPr>
          <w:rFonts w:ascii="Palatino Linotype" w:hAnsi="Palatino Linotype"/>
          <w:b/>
          <w:sz w:val="24"/>
          <w:szCs w:val="24"/>
        </w:rPr>
        <w:t>COMISIONADO</w:t>
      </w:r>
    </w:p>
    <w:p w:rsidR="00547195" w:rsidRPr="00B10C1A" w:rsidRDefault="00547195" w:rsidP="00D33AF9">
      <w:pPr>
        <w:jc w:val="center"/>
        <w:rPr>
          <w:rFonts w:ascii="Palatino Linotype" w:hAnsi="Palatino Linotype"/>
          <w:b/>
          <w:sz w:val="24"/>
          <w:szCs w:val="24"/>
        </w:rPr>
      </w:pPr>
      <w:r w:rsidRPr="00B10C1A">
        <w:rPr>
          <w:rFonts w:ascii="Palatino Linotype" w:hAnsi="Palatino Linotype"/>
          <w:b/>
          <w:sz w:val="24"/>
          <w:szCs w:val="24"/>
        </w:rPr>
        <w:t>(Rúbrica)</w:t>
      </w:r>
    </w:p>
    <w:p w:rsidR="00232B6D" w:rsidRPr="00B10C1A" w:rsidRDefault="00232B6D" w:rsidP="00D33AF9">
      <w:pPr>
        <w:jc w:val="center"/>
        <w:rPr>
          <w:rFonts w:ascii="Palatino Linotype" w:hAnsi="Palatino Linotype"/>
          <w:b/>
          <w:sz w:val="24"/>
          <w:szCs w:val="24"/>
        </w:rPr>
      </w:pPr>
    </w:p>
    <w:p w:rsidR="00232B6D" w:rsidRPr="00B10C1A" w:rsidRDefault="00232B6D" w:rsidP="00E67B8D">
      <w:pPr>
        <w:rPr>
          <w:rFonts w:ascii="Palatino Linotype" w:hAnsi="Palatino Linotype"/>
          <w:sz w:val="20"/>
          <w:szCs w:val="20"/>
        </w:rPr>
      </w:pPr>
    </w:p>
    <w:p w:rsidR="00232B6D" w:rsidRPr="00B10C1A" w:rsidRDefault="00232B6D" w:rsidP="00E67B8D">
      <w:pPr>
        <w:rPr>
          <w:rFonts w:ascii="Palatino Linotype" w:hAnsi="Palatino Linotype"/>
          <w:sz w:val="20"/>
          <w:szCs w:val="20"/>
        </w:rPr>
      </w:pPr>
    </w:p>
    <w:p w:rsidR="00D02E7A" w:rsidRDefault="00EB3B6B" w:rsidP="00E67B8D">
      <w:pPr>
        <w:rPr>
          <w:rFonts w:ascii="Palatino Linotype" w:hAnsi="Palatino Linotype"/>
          <w:sz w:val="20"/>
          <w:szCs w:val="20"/>
        </w:rPr>
      </w:pPr>
      <w:r w:rsidRPr="00B10C1A">
        <w:rPr>
          <w:rFonts w:ascii="Palatino Linotype" w:hAnsi="Palatino Linotype"/>
          <w:sz w:val="20"/>
          <w:szCs w:val="20"/>
        </w:rPr>
        <w:t>SAV</w:t>
      </w:r>
      <w:bookmarkStart w:id="8" w:name="_GoBack"/>
      <w:bookmarkEnd w:id="8"/>
      <w:r w:rsidRPr="00B10C1A">
        <w:rPr>
          <w:rFonts w:ascii="Palatino Linotype" w:hAnsi="Palatino Linotype"/>
          <w:sz w:val="20"/>
          <w:szCs w:val="20"/>
        </w:rPr>
        <w:t>AP/SEV</w:t>
      </w:r>
    </w:p>
    <w:p w:rsidR="003B3FC7" w:rsidRDefault="003B3FC7" w:rsidP="00E67B8D">
      <w:pPr>
        <w:rPr>
          <w:rFonts w:ascii="Palatino Linotype" w:hAnsi="Palatino Linotype"/>
          <w:sz w:val="20"/>
          <w:szCs w:val="20"/>
        </w:rPr>
      </w:pPr>
    </w:p>
    <w:p w:rsidR="003B3FC7" w:rsidRDefault="003B3FC7" w:rsidP="00E67B8D">
      <w:pPr>
        <w:rPr>
          <w:rFonts w:ascii="Palatino Linotype" w:hAnsi="Palatino Linotype"/>
          <w:sz w:val="20"/>
          <w:szCs w:val="20"/>
        </w:rPr>
      </w:pPr>
    </w:p>
    <w:p w:rsidR="003B3FC7" w:rsidRDefault="003B3FC7" w:rsidP="00E67B8D">
      <w:pPr>
        <w:rPr>
          <w:rFonts w:ascii="Palatino Linotype" w:hAnsi="Palatino Linotype"/>
          <w:sz w:val="20"/>
          <w:szCs w:val="20"/>
        </w:rPr>
      </w:pPr>
    </w:p>
    <w:p w:rsidR="003B3FC7" w:rsidRPr="00EB3B6B" w:rsidRDefault="003B3FC7" w:rsidP="003B3FC7">
      <w:pPr>
        <w:jc w:val="both"/>
        <w:rPr>
          <w:rFonts w:ascii="Palatino Linotype" w:hAnsi="Palatino Linotype"/>
          <w:sz w:val="20"/>
          <w:szCs w:val="20"/>
        </w:rPr>
      </w:pPr>
      <w:r w:rsidRPr="0083417A">
        <w:rPr>
          <w:rFonts w:ascii="Palatino Linotype" w:hAnsi="Palatino Linotype" w:cs="Arial"/>
          <w:color w:val="000000" w:themeColor="text1"/>
        </w:rPr>
        <w:t xml:space="preserve">Esta hoja corresponde </w:t>
      </w:r>
      <w:r>
        <w:rPr>
          <w:rFonts w:ascii="Palatino Linotype" w:hAnsi="Palatino Linotype" w:cs="Arial"/>
          <w:color w:val="000000" w:themeColor="text1"/>
        </w:rPr>
        <w:t>al voto particular</w:t>
      </w:r>
      <w:r w:rsidRPr="0083417A">
        <w:rPr>
          <w:rFonts w:ascii="Palatino Linotype" w:hAnsi="Palatino Linotype" w:cs="Arial"/>
          <w:color w:val="000000" w:themeColor="text1"/>
        </w:rPr>
        <w:t xml:space="preserve"> emitid</w:t>
      </w:r>
      <w:r>
        <w:rPr>
          <w:rFonts w:ascii="Palatino Linotype" w:hAnsi="Palatino Linotype" w:cs="Arial"/>
          <w:color w:val="000000" w:themeColor="text1"/>
        </w:rPr>
        <w:t xml:space="preserve">o en el recurso de revisión </w:t>
      </w:r>
      <w:r w:rsidRPr="003B3FC7">
        <w:rPr>
          <w:rFonts w:ascii="Palatino Linotype" w:hAnsi="Palatino Linotype" w:cs="Arial"/>
          <w:bCs/>
          <w:color w:val="000000" w:themeColor="text1"/>
          <w:lang w:eastAsia="es-MX"/>
        </w:rPr>
        <w:t>04266/INFOEM/IP/RR/2018</w:t>
      </w:r>
      <w:r w:rsidRPr="0083417A">
        <w:rPr>
          <w:rFonts w:ascii="Palatino Linotype" w:hAnsi="Palatino Linotype" w:cs="Arial"/>
          <w:color w:val="000000" w:themeColor="text1"/>
        </w:rPr>
        <w:t>.</w:t>
      </w:r>
    </w:p>
    <w:sectPr w:rsidR="003B3FC7" w:rsidRPr="00EB3B6B" w:rsidSect="00456B87">
      <w:headerReference w:type="even" r:id="rId7"/>
      <w:headerReference w:type="default" r:id="rId8"/>
      <w:footerReference w:type="default" r:id="rId9"/>
      <w:headerReference w:type="first" r:id="rId10"/>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6BF" w:rsidRDefault="005646BF" w:rsidP="00E706DA">
      <w:pPr>
        <w:spacing w:after="0" w:line="240" w:lineRule="auto"/>
      </w:pPr>
      <w:r>
        <w:separator/>
      </w:r>
    </w:p>
  </w:endnote>
  <w:endnote w:type="continuationSeparator" w:id="0">
    <w:p w:rsidR="005646BF" w:rsidRDefault="005646BF"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456B87"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F70D94">
              <w:rPr>
                <w:rFonts w:ascii="Palatino Linotype" w:hAnsi="Palatino Linotype"/>
                <w:b/>
                <w:bCs/>
                <w:noProof/>
                <w:sz w:val="20"/>
                <w:szCs w:val="20"/>
              </w:rPr>
              <w:t>25</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F70D94">
              <w:rPr>
                <w:rFonts w:ascii="Palatino Linotype" w:hAnsi="Palatino Linotype"/>
                <w:b/>
                <w:bCs/>
                <w:noProof/>
                <w:sz w:val="20"/>
                <w:szCs w:val="20"/>
              </w:rPr>
              <w:t>25</w:t>
            </w:r>
            <w:r w:rsidRPr="0052203D">
              <w:rPr>
                <w:rFonts w:ascii="Palatino Linotype" w:hAnsi="Palatino Linotype"/>
                <w:b/>
                <w:bCs/>
                <w:sz w:val="20"/>
                <w:szCs w:val="20"/>
              </w:rPr>
              <w:fldChar w:fldCharType="end"/>
            </w:r>
          </w:p>
        </w:sdtContent>
      </w:sdt>
    </w:sdtContent>
  </w:sdt>
  <w:p w:rsidR="00456B87" w:rsidRDefault="00456B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6BF" w:rsidRDefault="005646BF" w:rsidP="00E706DA">
      <w:pPr>
        <w:spacing w:after="0" w:line="240" w:lineRule="auto"/>
      </w:pPr>
      <w:r>
        <w:separator/>
      </w:r>
    </w:p>
  </w:footnote>
  <w:footnote w:type="continuationSeparator" w:id="0">
    <w:p w:rsidR="005646BF" w:rsidRDefault="005646BF"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46491C" w:rsidRDefault="0046491C" w:rsidP="0046491C">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 w:id="6">
    <w:p w:rsidR="00A97D8B" w:rsidRPr="00D84239" w:rsidRDefault="00A97D8B" w:rsidP="00A97D8B">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SAGÜÉS, Néstor Pedro. </w:t>
      </w:r>
      <w:r>
        <w:rPr>
          <w:rFonts w:ascii="Arial" w:hAnsi="Arial" w:cs="Arial"/>
        </w:rPr>
        <w:t>“</w:t>
      </w:r>
      <w:r w:rsidRPr="00384B2A">
        <w:rPr>
          <w:rFonts w:ascii="Arial" w:hAnsi="Arial" w:cs="Arial"/>
          <w:i/>
        </w:rPr>
        <w:t>La interpretación judicial de la Constitución. De la Constitución nacional a la Constitución convencionalizada”.</w:t>
      </w:r>
      <w:r w:rsidRPr="00D84239">
        <w:rPr>
          <w:rFonts w:ascii="Arial" w:hAnsi="Arial" w:cs="Arial"/>
        </w:rPr>
        <w:t xml:space="preserve"> México, </w:t>
      </w:r>
      <w:proofErr w:type="spellStart"/>
      <w:r w:rsidRPr="00D84239">
        <w:rPr>
          <w:rFonts w:ascii="Arial" w:hAnsi="Arial" w:cs="Arial"/>
        </w:rPr>
        <w:t>Coed</w:t>
      </w:r>
      <w:proofErr w:type="spellEnd"/>
      <w:r w:rsidRPr="00D84239">
        <w:rPr>
          <w:rFonts w:ascii="Arial" w:hAnsi="Arial" w:cs="Arial"/>
        </w:rPr>
        <w:t>. Porrúa e Instituto Mexicano de Derecho Procesal Constitucional. 2013. Págs. 263 y 264.</w:t>
      </w:r>
    </w:p>
  </w:footnote>
  <w:footnote w:id="7">
    <w:p w:rsidR="00A97D8B" w:rsidRPr="00D84239" w:rsidRDefault="00A97D8B" w:rsidP="00A97D8B">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La versión en español de la resolución se obtiene de ALÁEZ CORRAL, Benito y ÁLVAREZ </w:t>
      </w:r>
      <w:proofErr w:type="spellStart"/>
      <w:r w:rsidRPr="00D84239">
        <w:rPr>
          <w:rFonts w:ascii="Arial" w:hAnsi="Arial" w:cs="Arial"/>
        </w:rPr>
        <w:t>ÁLVAREZ</w:t>
      </w:r>
      <w:proofErr w:type="spellEnd"/>
      <w:r w:rsidRPr="00D84239">
        <w:rPr>
          <w:rFonts w:ascii="Arial" w:hAnsi="Arial" w:cs="Arial"/>
        </w:rPr>
        <w:t xml:space="preserve">, Leonardo. </w:t>
      </w:r>
      <w:r>
        <w:rPr>
          <w:rFonts w:ascii="Arial" w:hAnsi="Arial" w:cs="Arial"/>
        </w:rPr>
        <w:t>“</w:t>
      </w:r>
      <w:r w:rsidRPr="00384B2A">
        <w:rPr>
          <w:rFonts w:ascii="Arial" w:hAnsi="Arial" w:cs="Arial"/>
          <w:i/>
        </w:rPr>
        <w:t>Las decisiones básicas del T</w:t>
      </w:r>
      <w:r>
        <w:rPr>
          <w:rFonts w:ascii="Arial" w:hAnsi="Arial" w:cs="Arial"/>
          <w:i/>
        </w:rPr>
        <w:t>ribunal Constitucional Federal A</w:t>
      </w:r>
      <w:r w:rsidRPr="00384B2A">
        <w:rPr>
          <w:rFonts w:ascii="Arial" w:hAnsi="Arial" w:cs="Arial"/>
          <w:i/>
        </w:rPr>
        <w:t>lemán en las encrucijadas del cambio de milenio</w:t>
      </w:r>
      <w:r>
        <w:rPr>
          <w:rFonts w:ascii="Arial" w:hAnsi="Arial" w:cs="Arial"/>
          <w:i/>
        </w:rPr>
        <w:t>”</w:t>
      </w:r>
      <w:r w:rsidRPr="00D84239">
        <w:rPr>
          <w:rFonts w:ascii="Arial" w:hAnsi="Arial" w:cs="Arial"/>
        </w:rPr>
        <w:t xml:space="preserve">. Madrid. </w:t>
      </w:r>
      <w:proofErr w:type="spellStart"/>
      <w:r w:rsidRPr="00D84239">
        <w:rPr>
          <w:rFonts w:ascii="Arial" w:hAnsi="Arial" w:cs="Arial"/>
        </w:rPr>
        <w:t>Coed</w:t>
      </w:r>
      <w:proofErr w:type="spellEnd"/>
      <w:r w:rsidRPr="00D84239">
        <w:rPr>
          <w:rFonts w:ascii="Arial" w:hAnsi="Arial" w:cs="Arial"/>
        </w:rPr>
        <w:t>. Centro de Estudios Políticos y Constitucionales y Boletín Oficial Español. 2008. Págs. 179 y 180.</w:t>
      </w:r>
    </w:p>
  </w:footnote>
  <w:footnote w:id="8">
    <w:p w:rsidR="00A97D8B" w:rsidRPr="00D84239" w:rsidRDefault="00A97D8B" w:rsidP="00A97D8B">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La versión </w:t>
      </w:r>
      <w:r>
        <w:rPr>
          <w:rFonts w:ascii="Arial" w:hAnsi="Arial" w:cs="Arial"/>
        </w:rPr>
        <w:t xml:space="preserve">en español </w:t>
      </w:r>
      <w:r w:rsidRPr="00D84239">
        <w:rPr>
          <w:rFonts w:ascii="Arial" w:hAnsi="Arial" w:cs="Arial"/>
        </w:rPr>
        <w:t xml:space="preserve">de la sentencia puede consultarse en SARMIENTO, Daniel et al. </w:t>
      </w:r>
      <w:r w:rsidRPr="00D84239">
        <w:rPr>
          <w:rFonts w:ascii="Arial" w:hAnsi="Arial" w:cs="Arial"/>
          <w:i/>
        </w:rPr>
        <w:t>Las sentencias básicas del Tribunal Europeo de Derechos Humanos. Estudio y Jurisprudencia</w:t>
      </w:r>
      <w:r w:rsidRPr="00D84239">
        <w:rPr>
          <w:rFonts w:ascii="Arial" w:hAnsi="Arial" w:cs="Arial"/>
        </w:rPr>
        <w:t xml:space="preserve">. Navarra. </w:t>
      </w:r>
      <w:proofErr w:type="spellStart"/>
      <w:r w:rsidRPr="00D84239">
        <w:rPr>
          <w:rFonts w:ascii="Arial" w:hAnsi="Arial" w:cs="Arial"/>
        </w:rPr>
        <w:t>Coed</w:t>
      </w:r>
      <w:proofErr w:type="spellEnd"/>
      <w:r w:rsidRPr="00D84239">
        <w:rPr>
          <w:rFonts w:ascii="Arial" w:hAnsi="Arial" w:cs="Arial"/>
        </w:rPr>
        <w:t xml:space="preserve">. Thomson y </w:t>
      </w:r>
      <w:proofErr w:type="spellStart"/>
      <w:r w:rsidRPr="00D84239">
        <w:rPr>
          <w:rFonts w:ascii="Arial" w:hAnsi="Arial" w:cs="Arial"/>
        </w:rPr>
        <w:t>Civitas</w:t>
      </w:r>
      <w:proofErr w:type="spellEnd"/>
      <w:r w:rsidRPr="00D84239">
        <w:rPr>
          <w:rFonts w:ascii="Arial" w:hAnsi="Arial" w:cs="Arial"/>
        </w:rPr>
        <w:t>, 2007. Pág. 465.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B87" w:rsidRDefault="00F70D9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B87" w:rsidRDefault="00F70D9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456B87" w:rsidRDefault="00456B8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B87" w:rsidRDefault="00F70D9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B0253"/>
    <w:multiLevelType w:val="hybridMultilevel"/>
    <w:tmpl w:val="CFAC93B0"/>
    <w:lvl w:ilvl="0" w:tplc="D6784C0E">
      <w:start w:val="4"/>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043E7CD0"/>
    <w:multiLevelType w:val="hybridMultilevel"/>
    <w:tmpl w:val="C2C472DC"/>
    <w:lvl w:ilvl="0" w:tplc="080A0017">
      <w:start w:val="1"/>
      <w:numFmt w:val="lowerLetter"/>
      <w:lvlText w:val="%1)"/>
      <w:lvlJc w:val="left"/>
      <w:pPr>
        <w:ind w:left="1068" w:hanging="360"/>
      </w:pPr>
      <w:rPr>
        <w:rFonts w:eastAsia="Times New Roman"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27471236"/>
    <w:multiLevelType w:val="hybridMultilevel"/>
    <w:tmpl w:val="AB6CD4EC"/>
    <w:lvl w:ilvl="0" w:tplc="C86086BC">
      <w:start w:val="3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C0F0256"/>
    <w:multiLevelType w:val="hybridMultilevel"/>
    <w:tmpl w:val="BC78F3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403E5810"/>
    <w:multiLevelType w:val="hybridMultilevel"/>
    <w:tmpl w:val="99329EB8"/>
    <w:lvl w:ilvl="0" w:tplc="A754DEA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4635F7E"/>
    <w:multiLevelType w:val="hybridMultilevel"/>
    <w:tmpl w:val="36444B1E"/>
    <w:lvl w:ilvl="0" w:tplc="27B489D0">
      <w:start w:val="3"/>
      <w:numFmt w:val="upperRoman"/>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B107A9A"/>
    <w:multiLevelType w:val="hybridMultilevel"/>
    <w:tmpl w:val="4C5E3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CDD6FB5"/>
    <w:multiLevelType w:val="hybridMultilevel"/>
    <w:tmpl w:val="63D2CF1E"/>
    <w:lvl w:ilvl="0" w:tplc="406E4E4E">
      <w:start w:val="2"/>
      <w:numFmt w:val="lowerLetter"/>
      <w:lvlText w:val="%1)"/>
      <w:lvlJc w:val="left"/>
      <w:pPr>
        <w:ind w:left="720" w:hanging="720"/>
      </w:pPr>
      <w:rPr>
        <w:rFonts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F124520"/>
    <w:multiLevelType w:val="hybridMultilevel"/>
    <w:tmpl w:val="41C48E90"/>
    <w:lvl w:ilvl="0" w:tplc="6AB083EA">
      <w:start w:val="1"/>
      <w:numFmt w:val="lowerLetter"/>
      <w:lvlText w:val="%1)"/>
      <w:lvlJc w:val="left"/>
      <w:pPr>
        <w:ind w:left="1647" w:hanging="36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2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86E6DE1"/>
    <w:multiLevelType w:val="hybridMultilevel"/>
    <w:tmpl w:val="E1261732"/>
    <w:lvl w:ilvl="0" w:tplc="1912220E">
      <w:start w:val="1"/>
      <w:numFmt w:val="decimal"/>
      <w:lvlText w:val="%1."/>
      <w:lvlJc w:val="left"/>
      <w:pPr>
        <w:ind w:left="2127" w:hanging="480"/>
      </w:pPr>
      <w:rPr>
        <w:rFonts w:hint="default"/>
      </w:r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23">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6"/>
  </w:num>
  <w:num w:numId="4">
    <w:abstractNumId w:val="10"/>
  </w:num>
  <w:num w:numId="5">
    <w:abstractNumId w:val="13"/>
  </w:num>
  <w:num w:numId="6">
    <w:abstractNumId w:val="15"/>
  </w:num>
  <w:num w:numId="7">
    <w:abstractNumId w:val="18"/>
  </w:num>
  <w:num w:numId="8">
    <w:abstractNumId w:val="16"/>
  </w:num>
  <w:num w:numId="9">
    <w:abstractNumId w:val="21"/>
  </w:num>
  <w:num w:numId="10">
    <w:abstractNumId w:val="4"/>
  </w:num>
  <w:num w:numId="11">
    <w:abstractNumId w:val="20"/>
  </w:num>
  <w:num w:numId="12">
    <w:abstractNumId w:val="8"/>
  </w:num>
  <w:num w:numId="13">
    <w:abstractNumId w:val="11"/>
  </w:num>
  <w:num w:numId="14">
    <w:abstractNumId w:val="7"/>
  </w:num>
  <w:num w:numId="15">
    <w:abstractNumId w:val="1"/>
  </w:num>
  <w:num w:numId="16">
    <w:abstractNumId w:val="19"/>
  </w:num>
  <w:num w:numId="17">
    <w:abstractNumId w:val="3"/>
  </w:num>
  <w:num w:numId="18">
    <w:abstractNumId w:val="23"/>
  </w:num>
  <w:num w:numId="19">
    <w:abstractNumId w:val="17"/>
  </w:num>
  <w:num w:numId="20">
    <w:abstractNumId w:val="22"/>
  </w:num>
  <w:num w:numId="21">
    <w:abstractNumId w:val="9"/>
  </w:num>
  <w:num w:numId="22">
    <w:abstractNumId w:val="5"/>
  </w:num>
  <w:num w:numId="23">
    <w:abstractNumId w:val="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07504"/>
    <w:rsid w:val="00044038"/>
    <w:rsid w:val="00044B99"/>
    <w:rsid w:val="00073F0D"/>
    <w:rsid w:val="000951B4"/>
    <w:rsid w:val="0009696B"/>
    <w:rsid w:val="00097F15"/>
    <w:rsid w:val="000A620C"/>
    <w:rsid w:val="000A7B66"/>
    <w:rsid w:val="000F0579"/>
    <w:rsid w:val="000F6CBB"/>
    <w:rsid w:val="00106DB8"/>
    <w:rsid w:val="00117841"/>
    <w:rsid w:val="00122625"/>
    <w:rsid w:val="00127BDE"/>
    <w:rsid w:val="00137288"/>
    <w:rsid w:val="00145D32"/>
    <w:rsid w:val="00150050"/>
    <w:rsid w:val="00172CB0"/>
    <w:rsid w:val="001D3F34"/>
    <w:rsid w:val="002006FF"/>
    <w:rsid w:val="002036ED"/>
    <w:rsid w:val="00232B6D"/>
    <w:rsid w:val="00232CA3"/>
    <w:rsid w:val="002620E9"/>
    <w:rsid w:val="00281310"/>
    <w:rsid w:val="002B1625"/>
    <w:rsid w:val="002D0298"/>
    <w:rsid w:val="002E7894"/>
    <w:rsid w:val="003007A7"/>
    <w:rsid w:val="00301086"/>
    <w:rsid w:val="00302274"/>
    <w:rsid w:val="003605A5"/>
    <w:rsid w:val="003747A5"/>
    <w:rsid w:val="003B3FC7"/>
    <w:rsid w:val="003B44CB"/>
    <w:rsid w:val="003C4797"/>
    <w:rsid w:val="003D6E63"/>
    <w:rsid w:val="00410C93"/>
    <w:rsid w:val="00441939"/>
    <w:rsid w:val="004472A9"/>
    <w:rsid w:val="0045568A"/>
    <w:rsid w:val="00456B87"/>
    <w:rsid w:val="0046491C"/>
    <w:rsid w:val="00476094"/>
    <w:rsid w:val="00511A5B"/>
    <w:rsid w:val="00547195"/>
    <w:rsid w:val="005474BE"/>
    <w:rsid w:val="00556CD4"/>
    <w:rsid w:val="005646BF"/>
    <w:rsid w:val="00570595"/>
    <w:rsid w:val="005833D9"/>
    <w:rsid w:val="005A3267"/>
    <w:rsid w:val="005C2977"/>
    <w:rsid w:val="005D7E6E"/>
    <w:rsid w:val="005F5DBB"/>
    <w:rsid w:val="00602B26"/>
    <w:rsid w:val="00606E42"/>
    <w:rsid w:val="00616E9B"/>
    <w:rsid w:val="00634736"/>
    <w:rsid w:val="006728FD"/>
    <w:rsid w:val="006773D4"/>
    <w:rsid w:val="00717C0D"/>
    <w:rsid w:val="0072136B"/>
    <w:rsid w:val="00770016"/>
    <w:rsid w:val="00770B87"/>
    <w:rsid w:val="00790E37"/>
    <w:rsid w:val="00794A84"/>
    <w:rsid w:val="007A23D1"/>
    <w:rsid w:val="0082270E"/>
    <w:rsid w:val="008275ED"/>
    <w:rsid w:val="00850252"/>
    <w:rsid w:val="0085533E"/>
    <w:rsid w:val="00856FA1"/>
    <w:rsid w:val="00857D4E"/>
    <w:rsid w:val="008822B3"/>
    <w:rsid w:val="008B03B6"/>
    <w:rsid w:val="008C13C7"/>
    <w:rsid w:val="008D7AF8"/>
    <w:rsid w:val="008F3E81"/>
    <w:rsid w:val="008F735D"/>
    <w:rsid w:val="008F7578"/>
    <w:rsid w:val="00900E75"/>
    <w:rsid w:val="00902248"/>
    <w:rsid w:val="00920A6F"/>
    <w:rsid w:val="00926781"/>
    <w:rsid w:val="00957232"/>
    <w:rsid w:val="00996597"/>
    <w:rsid w:val="009C3135"/>
    <w:rsid w:val="009C41CC"/>
    <w:rsid w:val="009E7FFA"/>
    <w:rsid w:val="00A6310D"/>
    <w:rsid w:val="00A63717"/>
    <w:rsid w:val="00A97D8B"/>
    <w:rsid w:val="00AB023D"/>
    <w:rsid w:val="00AC381E"/>
    <w:rsid w:val="00AD5651"/>
    <w:rsid w:val="00AE1193"/>
    <w:rsid w:val="00AF3716"/>
    <w:rsid w:val="00B10A66"/>
    <w:rsid w:val="00B10C1A"/>
    <w:rsid w:val="00B4109D"/>
    <w:rsid w:val="00B46F4B"/>
    <w:rsid w:val="00BC5B58"/>
    <w:rsid w:val="00BC7B0C"/>
    <w:rsid w:val="00BE3B45"/>
    <w:rsid w:val="00C03D41"/>
    <w:rsid w:val="00C128C9"/>
    <w:rsid w:val="00C526F2"/>
    <w:rsid w:val="00C91180"/>
    <w:rsid w:val="00CE0823"/>
    <w:rsid w:val="00CE60A9"/>
    <w:rsid w:val="00D01FF9"/>
    <w:rsid w:val="00D02E7A"/>
    <w:rsid w:val="00D12DE7"/>
    <w:rsid w:val="00D26449"/>
    <w:rsid w:val="00D33AF9"/>
    <w:rsid w:val="00D72985"/>
    <w:rsid w:val="00D73077"/>
    <w:rsid w:val="00D7508B"/>
    <w:rsid w:val="00DB4794"/>
    <w:rsid w:val="00DF6F7E"/>
    <w:rsid w:val="00E67B8D"/>
    <w:rsid w:val="00E706DA"/>
    <w:rsid w:val="00E83E93"/>
    <w:rsid w:val="00EA4F61"/>
    <w:rsid w:val="00EB0906"/>
    <w:rsid w:val="00EB3B6B"/>
    <w:rsid w:val="00ED4A1D"/>
    <w:rsid w:val="00F130BF"/>
    <w:rsid w:val="00F21D90"/>
    <w:rsid w:val="00F53A7A"/>
    <w:rsid w:val="00F65F7E"/>
    <w:rsid w:val="00F70D94"/>
    <w:rsid w:val="00F857BC"/>
    <w:rsid w:val="00FA799E"/>
    <w:rsid w:val="00FC34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47E7EC0-E835-452A-A6EE-F3AE7263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232B6D"/>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semiHidden/>
    <w:unhideWhenUsed/>
    <w:qFormat/>
    <w:rsid w:val="00232B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232B6D"/>
    <w:rPr>
      <w:rFonts w:ascii="Palatino Linotype" w:eastAsiaTheme="majorEastAsia" w:hAnsi="Palatino Linotype" w:cstheme="majorBidi"/>
      <w:b/>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B3B6B"/>
    <w:pPr>
      <w:tabs>
        <w:tab w:val="left" w:pos="660"/>
        <w:tab w:val="right" w:leader="dot" w:pos="8828"/>
      </w:tabs>
      <w:spacing w:after="100" w:line="240" w:lineRule="auto"/>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character" w:customStyle="1" w:styleId="Ttulo2Car">
    <w:name w:val="Título 2 Car"/>
    <w:basedOn w:val="Fuentedeprrafopredeter"/>
    <w:link w:val="Ttulo2"/>
    <w:uiPriority w:val="9"/>
    <w:semiHidden/>
    <w:rsid w:val="00232B6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5523</Words>
  <Characters>30378</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2018-01-11T00:56:00Z</cp:lastPrinted>
  <dcterms:created xsi:type="dcterms:W3CDTF">2019-02-05T18:23:00Z</dcterms:created>
  <dcterms:modified xsi:type="dcterms:W3CDTF">2019-03-14T18:01:00Z</dcterms:modified>
</cp:coreProperties>
</file>